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69A" w:rsidRPr="00B361F8" w:rsidRDefault="00F83230" w:rsidP="009E169A">
      <w:pPr>
        <w:tabs>
          <w:tab w:val="left" w:pos="1985"/>
        </w:tabs>
        <w:autoSpaceDE/>
        <w:autoSpaceDN/>
        <w:adjustRightInd/>
        <w:snapToGrid/>
        <w:rPr>
          <w:rFonts w:eastAsia="MS Mincho"/>
          <w:b/>
          <w:bCs/>
          <w:sz w:val="24"/>
          <w:szCs w:val="20"/>
        </w:rPr>
      </w:pPr>
      <w:r w:rsidRPr="00B361F8">
        <w:rPr>
          <w:rFonts w:eastAsia="MS Mincho"/>
          <w:b/>
          <w:bCs/>
          <w:sz w:val="24"/>
          <w:szCs w:val="20"/>
        </w:rPr>
        <w:t>3GPP TSG RAN WG</w:t>
      </w:r>
      <w:r w:rsidR="00CB39BA" w:rsidRPr="00B361F8">
        <w:rPr>
          <w:rFonts w:eastAsia="MS Mincho"/>
          <w:b/>
          <w:bCs/>
          <w:sz w:val="24"/>
          <w:szCs w:val="20"/>
        </w:rPr>
        <w:t>2</w:t>
      </w:r>
      <w:r w:rsidR="009807F6" w:rsidRPr="00B361F8">
        <w:rPr>
          <w:rFonts w:eastAsia="MS Mincho"/>
          <w:b/>
          <w:bCs/>
          <w:sz w:val="24"/>
          <w:szCs w:val="20"/>
        </w:rPr>
        <w:t xml:space="preserve"> Meeting #</w:t>
      </w:r>
      <w:r w:rsidR="007153D7">
        <w:rPr>
          <w:rFonts w:eastAsia="MS Mincho"/>
          <w:b/>
          <w:bCs/>
          <w:sz w:val="24"/>
          <w:szCs w:val="20"/>
        </w:rPr>
        <w:t>e</w:t>
      </w:r>
      <w:r w:rsidR="00CB39BA" w:rsidRPr="00B361F8">
        <w:rPr>
          <w:rFonts w:eastAsia="MS Mincho"/>
          <w:b/>
          <w:bCs/>
          <w:sz w:val="24"/>
          <w:szCs w:val="20"/>
        </w:rPr>
        <w:t>10</w:t>
      </w:r>
      <w:r w:rsidR="007153D7">
        <w:rPr>
          <w:rFonts w:eastAsia="MS Mincho"/>
          <w:b/>
          <w:bCs/>
          <w:sz w:val="24"/>
          <w:szCs w:val="20"/>
        </w:rPr>
        <w:t>9</w:t>
      </w:r>
      <w:r w:rsidRPr="00B361F8">
        <w:rPr>
          <w:rFonts w:eastAsia="MS Mincho"/>
          <w:b/>
          <w:bCs/>
          <w:sz w:val="24"/>
          <w:szCs w:val="20"/>
        </w:rPr>
        <w:t xml:space="preserve">                                       </w:t>
      </w:r>
      <w:r w:rsidR="00D5052C" w:rsidRPr="00B361F8">
        <w:rPr>
          <w:rFonts w:eastAsia="MS Mincho"/>
          <w:b/>
          <w:bCs/>
          <w:sz w:val="24"/>
          <w:szCs w:val="20"/>
        </w:rPr>
        <w:tab/>
      </w:r>
      <w:r w:rsidR="00FF55E4" w:rsidRPr="00B361F8">
        <w:rPr>
          <w:rFonts w:eastAsia="MS Mincho"/>
          <w:b/>
          <w:bCs/>
          <w:sz w:val="24"/>
          <w:szCs w:val="20"/>
        </w:rPr>
        <w:t xml:space="preserve">         </w:t>
      </w:r>
      <w:r w:rsidR="00AD2BA6" w:rsidRPr="00B361F8">
        <w:rPr>
          <w:rFonts w:eastAsia="MS Mincho"/>
          <w:b/>
          <w:bCs/>
          <w:sz w:val="24"/>
          <w:szCs w:val="20"/>
        </w:rPr>
        <w:t xml:space="preserve">    </w:t>
      </w:r>
      <w:r w:rsidR="003E0978" w:rsidRPr="00B361F8">
        <w:rPr>
          <w:rFonts w:eastAsia="MS Mincho"/>
          <w:b/>
          <w:bCs/>
          <w:sz w:val="24"/>
          <w:szCs w:val="20"/>
        </w:rPr>
        <w:t>R2-</w:t>
      </w:r>
      <w:r w:rsidR="00BF18DE">
        <w:rPr>
          <w:rFonts w:eastAsia="MS Mincho"/>
          <w:b/>
          <w:bCs/>
          <w:sz w:val="24"/>
          <w:szCs w:val="20"/>
        </w:rPr>
        <w:t>2002054</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Agenda Item:</w:t>
      </w:r>
      <w:r w:rsidRPr="00B361F8">
        <w:rPr>
          <w:rFonts w:eastAsia="MS Mincho"/>
          <w:b/>
          <w:bCs/>
          <w:sz w:val="24"/>
          <w:szCs w:val="20"/>
        </w:rPr>
        <w:tab/>
      </w:r>
      <w:r w:rsidR="00A5390E" w:rsidRPr="00B361F8">
        <w:rPr>
          <w:rFonts w:eastAsia="MS Mincho"/>
          <w:b/>
          <w:bCs/>
          <w:sz w:val="24"/>
          <w:szCs w:val="20"/>
        </w:rPr>
        <w:t>6</w:t>
      </w:r>
      <w:r w:rsidR="00292899">
        <w:rPr>
          <w:rFonts w:eastAsia="MS Mincho"/>
          <w:b/>
          <w:bCs/>
          <w:sz w:val="24"/>
          <w:szCs w:val="20"/>
        </w:rPr>
        <w:t>.4.3.1</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Source:</w:t>
      </w:r>
      <w:r w:rsidRPr="00B361F8">
        <w:rPr>
          <w:rFonts w:eastAsia="MS Mincho"/>
          <w:b/>
          <w:bCs/>
          <w:sz w:val="24"/>
          <w:szCs w:val="20"/>
        </w:rPr>
        <w:tab/>
      </w:r>
      <w:r w:rsidR="00CB39BA" w:rsidRPr="00B361F8">
        <w:rPr>
          <w:rFonts w:eastAsia="MS Mincho"/>
          <w:b/>
          <w:bCs/>
          <w:sz w:val="24"/>
          <w:szCs w:val="20"/>
        </w:rPr>
        <w:t>Lenovo</w:t>
      </w:r>
      <w:r w:rsidR="003C689A" w:rsidRPr="00B361F8">
        <w:rPr>
          <w:rFonts w:eastAsia="MS Mincho"/>
          <w:b/>
          <w:bCs/>
          <w:sz w:val="24"/>
          <w:szCs w:val="20"/>
        </w:rPr>
        <w:t>, Motorola Mobility</w:t>
      </w:r>
      <w:r w:rsidR="00AB6494">
        <w:rPr>
          <w:rFonts w:eastAsia="MS Mincho"/>
          <w:b/>
          <w:bCs/>
          <w:sz w:val="24"/>
          <w:szCs w:val="20"/>
        </w:rPr>
        <w:t xml:space="preserve">, Deutsche Telekom, </w:t>
      </w:r>
      <w:r w:rsidR="0092624A" w:rsidRPr="0092624A">
        <w:rPr>
          <w:rFonts w:eastAsia="MS Mincho"/>
          <w:b/>
          <w:bCs/>
          <w:sz w:val="24"/>
          <w:szCs w:val="20"/>
        </w:rPr>
        <w:t>Fraunhofer HHI and Fraunhofer IIS</w:t>
      </w:r>
      <w:r w:rsidR="00244D3C">
        <w:rPr>
          <w:rFonts w:eastAsia="MS Mincho"/>
          <w:b/>
          <w:bCs/>
          <w:sz w:val="24"/>
          <w:szCs w:val="20"/>
        </w:rPr>
        <w:t xml:space="preserve">, </w:t>
      </w:r>
      <w:r w:rsidR="00244D3C" w:rsidRPr="00244D3C">
        <w:rPr>
          <w:rFonts w:eastAsia="MS Mincho"/>
          <w:b/>
          <w:bCs/>
          <w:sz w:val="24"/>
          <w:szCs w:val="20"/>
        </w:rPr>
        <w:t>Continental Automotive GmbH</w:t>
      </w:r>
      <w:r w:rsidR="00BF18DE">
        <w:rPr>
          <w:rFonts w:eastAsia="MS Mincho"/>
          <w:b/>
          <w:bCs/>
          <w:sz w:val="24"/>
          <w:szCs w:val="20"/>
        </w:rPr>
        <w:t>, MediaTek, Bosch</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Title:</w:t>
      </w:r>
      <w:r w:rsidRPr="00B361F8">
        <w:rPr>
          <w:rFonts w:eastAsia="MS Mincho"/>
          <w:b/>
          <w:bCs/>
          <w:sz w:val="24"/>
          <w:szCs w:val="20"/>
        </w:rPr>
        <w:tab/>
      </w:r>
      <w:r w:rsidR="00D63AA5" w:rsidRPr="00D63AA5">
        <w:rPr>
          <w:rFonts w:eastAsia="MS Mincho"/>
          <w:b/>
          <w:bCs/>
          <w:sz w:val="24"/>
          <w:szCs w:val="20"/>
        </w:rPr>
        <w:t>Remaining aspects of NR V2X Tx UE behavior</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Document for:</w:t>
      </w:r>
      <w:r w:rsidRPr="00B361F8">
        <w:rPr>
          <w:rFonts w:eastAsia="MS Mincho"/>
          <w:b/>
          <w:bCs/>
          <w:sz w:val="24"/>
          <w:szCs w:val="20"/>
        </w:rPr>
        <w:tab/>
      </w:r>
      <w:r w:rsidR="00CC258A" w:rsidRPr="00B361F8">
        <w:rPr>
          <w:rFonts w:eastAsia="MS Mincho"/>
          <w:b/>
          <w:bCs/>
          <w:sz w:val="24"/>
          <w:szCs w:val="20"/>
        </w:rPr>
        <w:t>Discussion, Decision</w:t>
      </w:r>
    </w:p>
    <w:p w:rsidR="00D7536D" w:rsidRPr="00B361F8" w:rsidRDefault="004845AB"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bookmarkStart w:id="0" w:name="_Ref124589705"/>
      <w:bookmarkStart w:id="1" w:name="_Ref129681862"/>
      <w:r w:rsidRPr="00B361F8">
        <w:rPr>
          <w:rFonts w:ascii="Times New Roman" w:eastAsia="SimSun" w:hAnsi="Times New Roman"/>
          <w:b w:val="0"/>
          <w:bCs w:val="0"/>
          <w:sz w:val="36"/>
          <w:szCs w:val="20"/>
          <w:lang w:eastAsia="ja-JP"/>
        </w:rPr>
        <w:t>Introduction</w:t>
      </w:r>
      <w:bookmarkEnd w:id="0"/>
      <w:bookmarkEnd w:id="1"/>
    </w:p>
    <w:p w:rsidR="0022048A" w:rsidRPr="00B361F8" w:rsidRDefault="00D5267A" w:rsidP="00505AFE">
      <w:pPr>
        <w:jc w:val="both"/>
      </w:pPr>
      <w:r>
        <w:t>The Tx UE behavior with respect to HARQ feedback was discussed in RAN1#99</w:t>
      </w:r>
      <w:r w:rsidR="0022048A" w:rsidRPr="00B361F8">
        <w:t>.</w:t>
      </w:r>
      <w:r>
        <w:t xml:space="preserve"> Since no conclusion could be drawn, the issue has been left for RAN2 discussion. This document intends to provide a Tx UE side behavior with respect to HARQ operation </w:t>
      </w:r>
    </w:p>
    <w:p w:rsidR="00B20E3B" w:rsidRPr="00B361F8" w:rsidRDefault="00B20E3B" w:rsidP="00505AFE">
      <w:pPr>
        <w:jc w:val="both"/>
        <w:rPr>
          <w:sz w:val="20"/>
          <w:lang w:val="en-GB" w:eastAsia="zh-CN"/>
        </w:rPr>
      </w:pPr>
    </w:p>
    <w:p w:rsidR="001463A9" w:rsidRPr="00B361F8" w:rsidRDefault="004B0F1D"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Discussion</w:t>
      </w:r>
    </w:p>
    <w:p w:rsidR="00AB6494" w:rsidRDefault="00AB6494" w:rsidP="00AB6494">
      <w:pPr>
        <w:autoSpaceDE/>
        <w:autoSpaceDN/>
        <w:adjustRightInd/>
        <w:snapToGrid/>
        <w:spacing w:before="200" w:after="0" w:line="216" w:lineRule="auto"/>
        <w:rPr>
          <w:color w:val="000000" w:themeColor="text1"/>
          <w:kern w:val="24"/>
          <w:szCs w:val="30"/>
        </w:rPr>
      </w:pPr>
      <w:r w:rsidRPr="00AB6494">
        <w:rPr>
          <w:color w:val="000000" w:themeColor="text1"/>
          <w:kern w:val="24"/>
          <w:szCs w:val="30"/>
        </w:rPr>
        <w:t xml:space="preserve">We list the Tx UE behavior in following steps. The </w:t>
      </w:r>
      <w:r w:rsidRPr="00AB6494">
        <w:rPr>
          <w:color w:val="00B050"/>
          <w:kern w:val="24"/>
          <w:szCs w:val="30"/>
        </w:rPr>
        <w:t>green</w:t>
      </w:r>
      <w:r w:rsidRPr="00AB6494">
        <w:rPr>
          <w:color w:val="000000" w:themeColor="text1"/>
          <w:kern w:val="24"/>
          <w:szCs w:val="30"/>
        </w:rPr>
        <w:t xml:space="preserve"> text have already been agreed and </w:t>
      </w:r>
      <w:r w:rsidRPr="00AB6494">
        <w:rPr>
          <w:color w:val="0070C0"/>
          <w:kern w:val="24"/>
          <w:szCs w:val="30"/>
        </w:rPr>
        <w:t>blue</w:t>
      </w:r>
      <w:r w:rsidRPr="00AB6494">
        <w:rPr>
          <w:color w:val="000000" w:themeColor="text1"/>
          <w:kern w:val="24"/>
          <w:szCs w:val="30"/>
        </w:rPr>
        <w:t xml:space="preserve"> text needs to discussed/ agreed.</w:t>
      </w:r>
    </w:p>
    <w:p w:rsidR="00634F85" w:rsidRPr="00AB6494" w:rsidRDefault="00634F85" w:rsidP="00AB6494">
      <w:pPr>
        <w:autoSpaceDE/>
        <w:autoSpaceDN/>
        <w:adjustRightInd/>
        <w:snapToGrid/>
        <w:spacing w:before="200" w:after="0" w:line="216" w:lineRule="auto"/>
        <w:rPr>
          <w:rFonts w:eastAsia="Times New Roman"/>
          <w:sz w:val="18"/>
          <w:szCs w:val="24"/>
        </w:rPr>
      </w:pPr>
    </w:p>
    <w:p w:rsidR="00AB6494" w:rsidRPr="00AB6494" w:rsidRDefault="00AB6494" w:rsidP="00F01A5B">
      <w:pPr>
        <w:numPr>
          <w:ilvl w:val="0"/>
          <w:numId w:val="13"/>
        </w:numPr>
        <w:autoSpaceDE/>
        <w:autoSpaceDN/>
        <w:adjustRightInd/>
        <w:snapToGrid/>
        <w:spacing w:after="0" w:line="216" w:lineRule="auto"/>
        <w:ind w:left="1526"/>
        <w:contextualSpacing/>
        <w:rPr>
          <w:rFonts w:eastAsia="Times New Roman"/>
          <w:szCs w:val="24"/>
        </w:rPr>
      </w:pPr>
      <w:r w:rsidRPr="00AB6494">
        <w:rPr>
          <w:color w:val="00B050"/>
          <w:kern w:val="24"/>
          <w:szCs w:val="30"/>
        </w:rPr>
        <w:t>Reception of RRC configuration of V2X logical channel.</w:t>
      </w:r>
    </w:p>
    <w:p w:rsidR="00AB6494" w:rsidRPr="00AB6494" w:rsidRDefault="00AB6494" w:rsidP="00F01A5B">
      <w:pPr>
        <w:numPr>
          <w:ilvl w:val="0"/>
          <w:numId w:val="13"/>
        </w:numPr>
        <w:autoSpaceDE/>
        <w:autoSpaceDN/>
        <w:adjustRightInd/>
        <w:snapToGrid/>
        <w:spacing w:after="0" w:line="216" w:lineRule="auto"/>
        <w:ind w:left="1526"/>
        <w:contextualSpacing/>
        <w:rPr>
          <w:rFonts w:eastAsia="Times New Roman"/>
          <w:szCs w:val="24"/>
        </w:rPr>
      </w:pPr>
      <w:r w:rsidRPr="00AB6494">
        <w:rPr>
          <w:color w:val="000000" w:themeColor="text1"/>
          <w:kern w:val="24"/>
          <w:szCs w:val="30"/>
        </w:rPr>
        <w:t>For each valid V2X grant (Mode 1, Mode 2)</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B050"/>
          <w:kern w:val="24"/>
          <w:szCs w:val="30"/>
          <w:lang w:val="de-DE"/>
        </w:rPr>
        <w:t>LCH Restriction(s)</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B050"/>
          <w:kern w:val="24"/>
          <w:szCs w:val="30"/>
        </w:rPr>
        <w:t>Selection of Destination</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70C0"/>
          <w:kern w:val="24"/>
          <w:szCs w:val="30"/>
        </w:rPr>
        <w:t>Selection of logical channels</w:t>
      </w:r>
    </w:p>
    <w:p w:rsidR="00AB6494" w:rsidRPr="00AB6494" w:rsidRDefault="00AB6494" w:rsidP="00F01A5B">
      <w:pPr>
        <w:numPr>
          <w:ilvl w:val="2"/>
          <w:numId w:val="13"/>
        </w:numPr>
        <w:autoSpaceDE/>
        <w:autoSpaceDN/>
        <w:adjustRightInd/>
        <w:snapToGrid/>
        <w:spacing w:after="0" w:line="216" w:lineRule="auto"/>
        <w:ind w:left="3960"/>
        <w:contextualSpacing/>
        <w:rPr>
          <w:rFonts w:eastAsia="Times New Roman"/>
          <w:szCs w:val="24"/>
        </w:rPr>
      </w:pPr>
      <w:r w:rsidRPr="00AB6494">
        <w:rPr>
          <w:color w:val="0070C0"/>
          <w:kern w:val="24"/>
          <w:szCs w:val="30"/>
          <w:lang w:val="de-DE"/>
        </w:rPr>
        <w:t>FB_enabled case</w:t>
      </w:r>
    </w:p>
    <w:p w:rsidR="00AB6494" w:rsidRPr="00AB6494" w:rsidRDefault="00AB6494" w:rsidP="00F01A5B">
      <w:pPr>
        <w:numPr>
          <w:ilvl w:val="2"/>
          <w:numId w:val="13"/>
        </w:numPr>
        <w:autoSpaceDE/>
        <w:autoSpaceDN/>
        <w:adjustRightInd/>
        <w:snapToGrid/>
        <w:spacing w:after="0" w:line="216" w:lineRule="auto"/>
        <w:ind w:left="3960"/>
        <w:contextualSpacing/>
        <w:rPr>
          <w:rFonts w:eastAsia="Times New Roman"/>
          <w:szCs w:val="24"/>
        </w:rPr>
      </w:pPr>
      <w:r w:rsidRPr="00AB6494">
        <w:rPr>
          <w:color w:val="0070C0"/>
          <w:kern w:val="24"/>
          <w:szCs w:val="30"/>
          <w:lang w:val="de-DE"/>
        </w:rPr>
        <w:t>FB_disabled case</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0000" w:themeColor="text1"/>
          <w:kern w:val="24"/>
          <w:szCs w:val="30"/>
        </w:rPr>
        <w:t>Allocation of resources</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70C0"/>
          <w:kern w:val="24"/>
          <w:szCs w:val="30"/>
        </w:rPr>
        <w:t>Determination of Option 1 or Option 2 HARQ feedback (</w:t>
      </w:r>
      <w:r w:rsidRPr="00AB6494">
        <w:rPr>
          <w:color w:val="00B050"/>
          <w:kern w:val="24"/>
          <w:szCs w:val="30"/>
        </w:rPr>
        <w:t>FFS in RAN1</w:t>
      </w:r>
      <w:r w:rsidRPr="00AB6494">
        <w:rPr>
          <w:color w:val="0070C0"/>
          <w:kern w:val="24"/>
          <w:szCs w:val="30"/>
        </w:rPr>
        <w:t>)</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B050"/>
          <w:kern w:val="24"/>
          <w:szCs w:val="30"/>
        </w:rPr>
        <w:t>Determination of MCR (Minimum Communication Range)</w:t>
      </w:r>
    </w:p>
    <w:p w:rsidR="00AB6494" w:rsidRPr="00AB6494" w:rsidRDefault="00AB6494" w:rsidP="00F01A5B">
      <w:pPr>
        <w:numPr>
          <w:ilvl w:val="0"/>
          <w:numId w:val="13"/>
        </w:numPr>
        <w:autoSpaceDE/>
        <w:autoSpaceDN/>
        <w:adjustRightInd/>
        <w:snapToGrid/>
        <w:spacing w:after="0" w:line="216" w:lineRule="auto"/>
        <w:ind w:left="1526"/>
        <w:contextualSpacing/>
        <w:rPr>
          <w:rFonts w:eastAsia="Times New Roman"/>
          <w:szCs w:val="24"/>
        </w:rPr>
      </w:pPr>
      <w:r w:rsidRPr="00AB6494">
        <w:rPr>
          <w:color w:val="000000" w:themeColor="text1"/>
          <w:kern w:val="24"/>
          <w:szCs w:val="30"/>
        </w:rPr>
        <w:t>Deliver the MAC PDU, and associated info to the lower layer.</w:t>
      </w:r>
    </w:p>
    <w:p w:rsidR="00AB6494" w:rsidRPr="00AB6494" w:rsidRDefault="00AB6494" w:rsidP="00F01A5B">
      <w:pPr>
        <w:numPr>
          <w:ilvl w:val="0"/>
          <w:numId w:val="13"/>
        </w:numPr>
        <w:autoSpaceDE/>
        <w:autoSpaceDN/>
        <w:adjustRightInd/>
        <w:snapToGrid/>
        <w:spacing w:after="0" w:line="216" w:lineRule="auto"/>
        <w:ind w:left="1440"/>
        <w:contextualSpacing/>
        <w:rPr>
          <w:rFonts w:eastAsia="Times New Roman"/>
          <w:szCs w:val="24"/>
        </w:rPr>
      </w:pPr>
      <w:r w:rsidRPr="00AB6494">
        <w:rPr>
          <w:color w:val="0070C0"/>
          <w:kern w:val="24"/>
          <w:szCs w:val="30"/>
        </w:rPr>
        <w:t>Execution of Blind re-transmission(s)</w:t>
      </w:r>
    </w:p>
    <w:p w:rsidR="00AB6494" w:rsidRPr="00634F85" w:rsidRDefault="00AB6494" w:rsidP="00FA54C3">
      <w:pPr>
        <w:rPr>
          <w:b/>
        </w:rPr>
      </w:pPr>
    </w:p>
    <w:p w:rsidR="00E66005" w:rsidRPr="00E66005" w:rsidRDefault="00E66005" w:rsidP="00E66005">
      <w:r w:rsidRPr="00E66005">
        <w:t>We start from the first step and go in sequence to the next one.</w:t>
      </w:r>
    </w:p>
    <w:p w:rsidR="00AB6494" w:rsidRPr="00634F85" w:rsidRDefault="00E66005" w:rsidP="00FA54C3">
      <w:r w:rsidRPr="00E66005">
        <w:t xml:space="preserve">Starting with the </w:t>
      </w:r>
      <w:r w:rsidR="00AB6494" w:rsidRPr="00634F85">
        <w:rPr>
          <w:color w:val="00B050"/>
        </w:rPr>
        <w:t>RRC configuration of V2X logical channel</w:t>
      </w:r>
      <w:r w:rsidR="00FA54C3" w:rsidRPr="00634F85">
        <w:rPr>
          <w:color w:val="00B050"/>
        </w:rPr>
        <w:t>.</w:t>
      </w:r>
      <w:r>
        <w:rPr>
          <w:color w:val="00B050"/>
        </w:rPr>
        <w:t xml:space="preserve"> </w:t>
      </w:r>
      <w:r w:rsidR="00AB6494" w:rsidRPr="00634F85">
        <w:t>Here the following agreement was reached in the RAN2#107bis:</w:t>
      </w:r>
    </w:p>
    <w:tbl>
      <w:tblPr>
        <w:tblStyle w:val="TableGrid"/>
        <w:tblW w:w="0" w:type="auto"/>
        <w:tblLook w:val="04A0" w:firstRow="1" w:lastRow="0" w:firstColumn="1" w:lastColumn="0" w:noHBand="0" w:noVBand="1"/>
      </w:tblPr>
      <w:tblGrid>
        <w:gridCol w:w="9307"/>
      </w:tblGrid>
      <w:tr w:rsidR="00AB6494" w:rsidRPr="00634F85" w:rsidTr="00AB6494">
        <w:tc>
          <w:tcPr>
            <w:tcW w:w="9307" w:type="dxa"/>
          </w:tcPr>
          <w:p w:rsidR="00AB6494" w:rsidRPr="00634F85" w:rsidRDefault="00AB6494" w:rsidP="00AB6494">
            <w:r w:rsidRPr="00634F85">
              <w:t>Agreed in RAN2#107 bis:</w:t>
            </w:r>
          </w:p>
          <w:p w:rsidR="00AB6494" w:rsidRPr="00634F85" w:rsidRDefault="00AB6494" w:rsidP="00AB6494">
            <w:r w:rsidRPr="00634F85">
              <w:rPr>
                <w:i/>
                <w:iCs/>
                <w:lang w:val="en-GB"/>
              </w:rPr>
              <w:t>9:</w:t>
            </w:r>
            <w:r w:rsidRPr="00634F85">
              <w:rPr>
                <w:i/>
                <w:iCs/>
                <w:lang w:val="en-GB"/>
              </w:rPr>
              <w:tab/>
              <w:t>RAN2 to support SL HARQ feedback enable/disable configures in SLRB level:</w:t>
            </w:r>
          </w:p>
          <w:p w:rsidR="00AB6494" w:rsidRPr="00634F85" w:rsidRDefault="00AB6494" w:rsidP="00AB6494">
            <w:r w:rsidRPr="00634F85">
              <w:rPr>
                <w:i/>
                <w:iCs/>
                <w:lang w:val="en-GB"/>
              </w:rPr>
              <w:tab/>
              <w:t>- For both mode1&amp;mode2 UEs: SLRB level in RRC message.</w:t>
            </w:r>
          </w:p>
          <w:p w:rsidR="00AB6494" w:rsidRPr="00634F85" w:rsidRDefault="00AB6494" w:rsidP="00FA54C3">
            <w:r w:rsidRPr="00634F85">
              <w:rPr>
                <w:i/>
                <w:iCs/>
                <w:lang w:val="en-GB"/>
              </w:rPr>
              <w:tab/>
              <w:t>- For Idle/Inactive/OOC UEs: SLRB level in SIB/pre-configuration message.</w:t>
            </w:r>
          </w:p>
        </w:tc>
      </w:tr>
    </w:tbl>
    <w:p w:rsidR="00AB6494" w:rsidRPr="00634F85" w:rsidRDefault="00AB6494" w:rsidP="00FA54C3"/>
    <w:p w:rsidR="00AB6494" w:rsidRPr="00634F85" w:rsidRDefault="00AB6494" w:rsidP="00FA54C3">
      <w:pPr>
        <w:rPr>
          <w:iCs/>
        </w:rPr>
      </w:pPr>
      <w:r w:rsidRPr="00634F85">
        <w:t xml:space="preserve">As for the </w:t>
      </w:r>
      <w:r w:rsidRPr="00790568">
        <w:rPr>
          <w:b/>
          <w:color w:val="00B050"/>
        </w:rPr>
        <w:t>LCH restriction(s)</w:t>
      </w:r>
      <w:r w:rsidRPr="00634F85">
        <w:t xml:space="preserve">, we only have </w:t>
      </w:r>
      <w:r w:rsidR="00F341C1" w:rsidRPr="00634F85">
        <w:t xml:space="preserve">two </w:t>
      </w:r>
      <w:r w:rsidR="00F341C1" w:rsidRPr="00634F85">
        <w:rPr>
          <w:lang w:val="en-GB"/>
        </w:rPr>
        <w:t xml:space="preserve">restrictions in the running MAC CR; one checking if there’s SL data for transmission and </w:t>
      </w:r>
      <w:r w:rsidR="00F341C1" w:rsidRPr="00634F85">
        <w:rPr>
          <w:i/>
          <w:iCs/>
          <w:lang w:val="en-GB"/>
        </w:rPr>
        <w:t>sl-configuredSLGrantType1Allowed</w:t>
      </w:r>
      <w:r w:rsidR="00F341C1" w:rsidRPr="00634F85">
        <w:rPr>
          <w:lang w:val="en-GB"/>
        </w:rPr>
        <w:t xml:space="preserve">, if configured, is set to </w:t>
      </w:r>
      <w:r w:rsidR="00F341C1" w:rsidRPr="00634F85">
        <w:rPr>
          <w:iCs/>
          <w:lang w:val="en-GB"/>
        </w:rPr>
        <w:t>true for a particular logical channel.</w:t>
      </w:r>
      <w:r w:rsidR="002F04D4" w:rsidRPr="00634F85">
        <w:rPr>
          <w:iCs/>
          <w:lang w:val="en-GB"/>
        </w:rPr>
        <w:t xml:space="preserve"> In </w:t>
      </w:r>
      <w:r w:rsidR="002F04D4" w:rsidRPr="00790568">
        <w:rPr>
          <w:b/>
          <w:iCs/>
          <w:color w:val="00B050"/>
        </w:rPr>
        <w:t>Selection of Destination</w:t>
      </w:r>
      <w:r w:rsidR="002F04D4" w:rsidRPr="00634F85">
        <w:rPr>
          <w:iCs/>
        </w:rPr>
        <w:t>, the following is agreed in RAN2#108:</w:t>
      </w:r>
    </w:p>
    <w:p w:rsidR="002F04D4" w:rsidRPr="00634F85" w:rsidRDefault="002F04D4" w:rsidP="00FA54C3">
      <w:pPr>
        <w:rPr>
          <w:iCs/>
          <w:lang w:val="en-GB"/>
        </w:rPr>
      </w:pPr>
      <w:r w:rsidRPr="00634F85">
        <w:rPr>
          <w:i/>
          <w:iCs/>
          <w:lang w:val="en-GB"/>
        </w:rPr>
        <w:t xml:space="preserve">“For each new transmission, UE selects a Destination having the logical channel with the highest priority, among the logical channels having data available for transmission and having no mapping restrictions to a sidelink grant. </w:t>
      </w:r>
      <w:r w:rsidRPr="00634F85">
        <w:rPr>
          <w:i/>
          <w:iCs/>
        </w:rPr>
        <w:t>Then, UE allocate the sidelink grant to the logical channels from the logical channel with the highest priority.</w:t>
      </w:r>
      <w:r w:rsidRPr="00634F85">
        <w:rPr>
          <w:i/>
          <w:iCs/>
          <w:lang w:val="en-GB"/>
        </w:rPr>
        <w:t>”</w:t>
      </w:r>
    </w:p>
    <w:p w:rsidR="00E66005" w:rsidRDefault="00E66005" w:rsidP="00A94BD5">
      <w:pPr>
        <w:autoSpaceDE/>
        <w:autoSpaceDN/>
        <w:adjustRightInd/>
        <w:snapToGrid/>
        <w:spacing w:after="0" w:line="216" w:lineRule="auto"/>
        <w:contextualSpacing/>
        <w:rPr>
          <w:color w:val="0070C0"/>
          <w:kern w:val="24"/>
          <w:szCs w:val="30"/>
        </w:rPr>
      </w:pPr>
    </w:p>
    <w:p w:rsidR="002F04D4" w:rsidRPr="00790568" w:rsidRDefault="00A94BD5" w:rsidP="00A94BD5">
      <w:pPr>
        <w:autoSpaceDE/>
        <w:autoSpaceDN/>
        <w:adjustRightInd/>
        <w:snapToGrid/>
        <w:spacing w:after="0" w:line="216" w:lineRule="auto"/>
        <w:contextualSpacing/>
        <w:rPr>
          <w:b/>
          <w:color w:val="0070C0"/>
          <w:kern w:val="24"/>
          <w:szCs w:val="30"/>
        </w:rPr>
      </w:pPr>
      <w:r w:rsidRPr="00790568">
        <w:rPr>
          <w:b/>
          <w:color w:val="0070C0"/>
          <w:kern w:val="24"/>
          <w:szCs w:val="30"/>
        </w:rPr>
        <w:t>Selection of logical channels</w:t>
      </w:r>
    </w:p>
    <w:p w:rsidR="00A91C02" w:rsidRPr="00563554" w:rsidRDefault="00F01A5B" w:rsidP="00563554">
      <w:r w:rsidRPr="00563554">
        <w:t>The proponents think that a SL DCI grant shall not influence LCH selection by dictating feedback enable/ disable for the entire TB. The most prioritized (critical V2X e.g. Broadcast if present) message should be the first to be selected for resource allocation in</w:t>
      </w:r>
      <w:r w:rsidR="00563554">
        <w:t xml:space="preserve"> </w:t>
      </w:r>
      <w:r w:rsidRPr="00563554">
        <w:t>line with Uu principle; therefore we propose:</w:t>
      </w:r>
    </w:p>
    <w:p w:rsidR="00A91C02" w:rsidRPr="00A94BD5" w:rsidRDefault="00F01A5B" w:rsidP="00AE50A8">
      <w:pPr>
        <w:autoSpaceDE/>
        <w:autoSpaceDN/>
        <w:adjustRightInd/>
        <w:snapToGrid/>
        <w:spacing w:after="0" w:line="216" w:lineRule="auto"/>
        <w:contextualSpacing/>
        <w:rPr>
          <w:color w:val="0070C0"/>
          <w:kern w:val="24"/>
          <w:szCs w:val="30"/>
        </w:rPr>
      </w:pPr>
      <w:r w:rsidRPr="00A94BD5">
        <w:rPr>
          <w:color w:val="0070C0"/>
          <w:kern w:val="24"/>
          <w:szCs w:val="30"/>
        </w:rPr>
        <w:t>P</w:t>
      </w:r>
      <w:r w:rsidR="00372DD5">
        <w:rPr>
          <w:color w:val="0070C0"/>
          <w:kern w:val="24"/>
          <w:szCs w:val="30"/>
        </w:rPr>
        <w:t xml:space="preserve">roposal </w:t>
      </w:r>
      <w:r w:rsidRPr="00A94BD5">
        <w:rPr>
          <w:color w:val="0070C0"/>
          <w:kern w:val="24"/>
          <w:szCs w:val="30"/>
        </w:rPr>
        <w:t>1: The HF Enabled/ Disabled configuration of the highest priority LCH determining the destination will determine the HF Enabled/ Disabled for the entire TB.</w:t>
      </w:r>
    </w:p>
    <w:p w:rsidR="00AE50A8" w:rsidRDefault="00AE50A8" w:rsidP="00AE50A8">
      <w:pPr>
        <w:autoSpaceDE/>
        <w:autoSpaceDN/>
        <w:adjustRightInd/>
        <w:snapToGrid/>
        <w:spacing w:after="0" w:line="216" w:lineRule="auto"/>
        <w:contextualSpacing/>
        <w:rPr>
          <w:color w:val="0070C0"/>
          <w:kern w:val="24"/>
          <w:szCs w:val="30"/>
        </w:rPr>
      </w:pPr>
    </w:p>
    <w:p w:rsidR="00A91C02" w:rsidRPr="00A94BD5" w:rsidRDefault="00F01A5B" w:rsidP="00AE50A8">
      <w:pPr>
        <w:autoSpaceDE/>
        <w:autoSpaceDN/>
        <w:adjustRightInd/>
        <w:snapToGrid/>
        <w:spacing w:after="0" w:line="216" w:lineRule="auto"/>
        <w:contextualSpacing/>
        <w:rPr>
          <w:color w:val="0070C0"/>
          <w:kern w:val="24"/>
          <w:szCs w:val="30"/>
        </w:rPr>
      </w:pPr>
      <w:r w:rsidRPr="00A94BD5">
        <w:rPr>
          <w:color w:val="0070C0"/>
          <w:kern w:val="24"/>
          <w:szCs w:val="30"/>
        </w:rPr>
        <w:t>P</w:t>
      </w:r>
      <w:r w:rsidR="00372DD5">
        <w:rPr>
          <w:color w:val="0070C0"/>
          <w:kern w:val="24"/>
          <w:szCs w:val="30"/>
        </w:rPr>
        <w:t xml:space="preserve">roposal </w:t>
      </w:r>
      <w:r w:rsidRPr="00A94BD5">
        <w:rPr>
          <w:color w:val="0070C0"/>
          <w:kern w:val="24"/>
          <w:szCs w:val="30"/>
        </w:rPr>
        <w:t>2: Select only those LCH of the selected destination having the same Feedback mode as determined for the entire TB. The LCP procedure is run on the resulting LCH procedure.</w:t>
      </w:r>
    </w:p>
    <w:p w:rsidR="00563554" w:rsidRDefault="00563554" w:rsidP="00A94BD5">
      <w:pPr>
        <w:autoSpaceDE/>
        <w:autoSpaceDN/>
        <w:adjustRightInd/>
        <w:snapToGrid/>
        <w:spacing w:after="0" w:line="216" w:lineRule="auto"/>
        <w:contextualSpacing/>
        <w:rPr>
          <w:color w:val="0070C0"/>
          <w:kern w:val="24"/>
          <w:szCs w:val="30"/>
        </w:rPr>
      </w:pPr>
    </w:p>
    <w:p w:rsidR="00790568" w:rsidRDefault="00790568" w:rsidP="00AE50A8"/>
    <w:p w:rsidR="00A94BD5" w:rsidRPr="00AE50A8" w:rsidRDefault="00563554" w:rsidP="00AE50A8">
      <w:r w:rsidRPr="00AE50A8">
        <w:t>Two cases emerge depending on whether the determined HARQ Feedback (HF) is Enabled or Disabled for the entire TB:</w:t>
      </w:r>
    </w:p>
    <w:p w:rsidR="00563554" w:rsidRDefault="00563554" w:rsidP="00A94BD5">
      <w:pPr>
        <w:autoSpaceDE/>
        <w:autoSpaceDN/>
        <w:adjustRightInd/>
        <w:snapToGrid/>
        <w:spacing w:after="0" w:line="216" w:lineRule="auto"/>
        <w:contextualSpacing/>
        <w:rPr>
          <w:color w:val="0070C0"/>
          <w:kern w:val="24"/>
          <w:szCs w:val="30"/>
        </w:rPr>
      </w:pPr>
    </w:p>
    <w:p w:rsidR="00563554" w:rsidRDefault="00563554" w:rsidP="00A94BD5">
      <w:pPr>
        <w:autoSpaceDE/>
        <w:autoSpaceDN/>
        <w:adjustRightInd/>
        <w:snapToGrid/>
        <w:spacing w:after="0" w:line="216" w:lineRule="auto"/>
        <w:contextualSpacing/>
      </w:pPr>
      <w:r w:rsidRPr="00790568">
        <w:rPr>
          <w:b/>
          <w:color w:val="0070C0"/>
          <w:kern w:val="24"/>
          <w:szCs w:val="30"/>
        </w:rPr>
        <w:t>FB_enabled:</w:t>
      </w:r>
      <w:r w:rsidR="00AE50A8">
        <w:rPr>
          <w:color w:val="0070C0"/>
          <w:kern w:val="24"/>
          <w:szCs w:val="30"/>
        </w:rPr>
        <w:t xml:space="preserve"> </w:t>
      </w:r>
      <w:r w:rsidR="00AE50A8" w:rsidRPr="00AE50A8">
        <w:t>following two proposals can be straightaway drawn:</w:t>
      </w:r>
    </w:p>
    <w:p w:rsidR="00BF4FC0" w:rsidRDefault="00BF4FC0" w:rsidP="00AE50A8">
      <w:pPr>
        <w:autoSpaceDE/>
        <w:autoSpaceDN/>
        <w:adjustRightInd/>
        <w:snapToGrid/>
        <w:spacing w:after="0" w:line="216" w:lineRule="auto"/>
        <w:contextualSpacing/>
        <w:rPr>
          <w:color w:val="0070C0"/>
          <w:kern w:val="24"/>
          <w:szCs w:val="30"/>
        </w:rPr>
      </w:pPr>
    </w:p>
    <w:p w:rsidR="00A91C02" w:rsidRPr="00AE50A8" w:rsidRDefault="00F01A5B" w:rsidP="00AE50A8">
      <w:pPr>
        <w:autoSpaceDE/>
        <w:autoSpaceDN/>
        <w:adjustRightInd/>
        <w:snapToGrid/>
        <w:spacing w:after="0" w:line="216" w:lineRule="auto"/>
        <w:contextualSpacing/>
        <w:rPr>
          <w:color w:val="0070C0"/>
          <w:kern w:val="24"/>
          <w:szCs w:val="30"/>
        </w:rPr>
      </w:pPr>
      <w:r w:rsidRPr="00AE50A8">
        <w:rPr>
          <w:color w:val="0070C0"/>
          <w:kern w:val="24"/>
          <w:szCs w:val="30"/>
        </w:rPr>
        <w:t>P</w:t>
      </w:r>
      <w:r w:rsidR="00372DD5">
        <w:rPr>
          <w:color w:val="0070C0"/>
          <w:kern w:val="24"/>
          <w:szCs w:val="30"/>
        </w:rPr>
        <w:t xml:space="preserve">roposal </w:t>
      </w:r>
      <w:r w:rsidRPr="00AE50A8">
        <w:rPr>
          <w:color w:val="0070C0"/>
          <w:kern w:val="24"/>
          <w:szCs w:val="30"/>
        </w:rPr>
        <w:t>3: If the “Feedback mode as determined for the entire TB” is “enabled”, SL feedback is requested in SCI from the receivers.</w:t>
      </w:r>
    </w:p>
    <w:p w:rsidR="00BF4FC0" w:rsidRDefault="00BF4FC0" w:rsidP="00AE50A8">
      <w:pPr>
        <w:autoSpaceDE/>
        <w:autoSpaceDN/>
        <w:adjustRightInd/>
        <w:snapToGrid/>
        <w:spacing w:after="0" w:line="216" w:lineRule="auto"/>
        <w:contextualSpacing/>
        <w:rPr>
          <w:color w:val="0070C0"/>
          <w:kern w:val="24"/>
          <w:szCs w:val="30"/>
        </w:rPr>
      </w:pPr>
    </w:p>
    <w:p w:rsidR="00A91C02" w:rsidRPr="00AE50A8" w:rsidRDefault="00F01A5B" w:rsidP="00AE50A8">
      <w:pPr>
        <w:autoSpaceDE/>
        <w:autoSpaceDN/>
        <w:adjustRightInd/>
        <w:snapToGrid/>
        <w:spacing w:after="0" w:line="216" w:lineRule="auto"/>
        <w:contextualSpacing/>
        <w:rPr>
          <w:color w:val="0070C0"/>
          <w:kern w:val="24"/>
          <w:szCs w:val="30"/>
        </w:rPr>
      </w:pPr>
      <w:r w:rsidRPr="00AE50A8">
        <w:rPr>
          <w:color w:val="0070C0"/>
          <w:kern w:val="24"/>
          <w:szCs w:val="30"/>
        </w:rPr>
        <w:t>P</w:t>
      </w:r>
      <w:r w:rsidR="00372DD5">
        <w:rPr>
          <w:color w:val="0070C0"/>
          <w:kern w:val="24"/>
          <w:szCs w:val="30"/>
        </w:rPr>
        <w:t xml:space="preserve">roposal </w:t>
      </w:r>
      <w:r w:rsidRPr="00AE50A8">
        <w:rPr>
          <w:color w:val="0070C0"/>
          <w:kern w:val="24"/>
          <w:szCs w:val="30"/>
        </w:rPr>
        <w:t>4: In case a retransmission needs to be made, a NACK is signalled to gNB if the initial transmission was based on Mode 1 resource allocation and PUCCH resources for feedback are available (in the corresponding DCI).</w:t>
      </w:r>
    </w:p>
    <w:p w:rsidR="00AE50A8" w:rsidRDefault="00AE50A8" w:rsidP="00A94BD5">
      <w:pPr>
        <w:autoSpaceDE/>
        <w:autoSpaceDN/>
        <w:adjustRightInd/>
        <w:snapToGrid/>
        <w:spacing w:after="0" w:line="216" w:lineRule="auto"/>
        <w:contextualSpacing/>
        <w:rPr>
          <w:color w:val="0070C0"/>
          <w:kern w:val="24"/>
          <w:szCs w:val="30"/>
        </w:rPr>
      </w:pPr>
    </w:p>
    <w:p w:rsidR="00563554" w:rsidRDefault="00493EC2" w:rsidP="00493EC2">
      <w:r w:rsidRPr="00493EC2">
        <w:t>However, if the initial transmission was based on Mode 1 resource allocation but PUCCH resources for feedback are NOT available (in the corresponding DCI)</w:t>
      </w:r>
      <w:r>
        <w:t>, there are some limited possibilities on how the retransmission can be made, when required. First, the UE may not make any retransmissions in such case – and this obviously can’t be a good solution in view of the QoS requirement for reliability.</w:t>
      </w:r>
      <w:r w:rsidR="006B1E2B">
        <w:t xml:space="preserve"> As another very </w:t>
      </w:r>
      <w:r w:rsidR="00BA4645">
        <w:t>different</w:t>
      </w:r>
      <w:r w:rsidR="006B1E2B">
        <w:t xml:space="preserve"> option, the UE goes back to re</w:t>
      </w:r>
      <w:r w:rsidR="00BA4645">
        <w:t>-</w:t>
      </w:r>
      <w:r w:rsidR="006B1E2B">
        <w:t xml:space="preserve">doing LCP and selects only those LCH that have feedback disabled. This is also not a good solution since this will go against the age old (Uu) principle that the highest priority logical channel is not allocated resource. So, we think of another possibility where the </w:t>
      </w:r>
      <w:r w:rsidR="00BA4645">
        <w:t>UE switches to Mode 2 based resource acquisition for making the retransmissions. When the functionality for Mode 1 and Mode 2 resource allocation has been specified, the switch to Mode 2 for re-transmissions can be done transparently to the receiver(s) and from the transmitter perspective would come for free i.e. without necessitating further specification.</w:t>
      </w:r>
      <w:r w:rsidR="00C22041">
        <w:t xml:space="preserve"> </w:t>
      </w:r>
      <w:r w:rsidR="00BA4645">
        <w:t>Therefore:</w:t>
      </w:r>
    </w:p>
    <w:p w:rsidR="00BA4645" w:rsidRDefault="00F01A5B" w:rsidP="00BA4645">
      <w:pPr>
        <w:autoSpaceDE/>
        <w:autoSpaceDN/>
        <w:adjustRightInd/>
        <w:snapToGrid/>
        <w:spacing w:after="0" w:line="216" w:lineRule="auto"/>
        <w:contextualSpacing/>
        <w:rPr>
          <w:color w:val="0070C0"/>
          <w:kern w:val="24"/>
          <w:szCs w:val="30"/>
        </w:rPr>
      </w:pPr>
      <w:r w:rsidRPr="00BA4645">
        <w:rPr>
          <w:color w:val="0070C0"/>
          <w:kern w:val="24"/>
          <w:szCs w:val="30"/>
        </w:rPr>
        <w:t>P</w:t>
      </w:r>
      <w:r w:rsidR="00372DD5">
        <w:rPr>
          <w:color w:val="0070C0"/>
          <w:kern w:val="24"/>
          <w:szCs w:val="30"/>
        </w:rPr>
        <w:t xml:space="preserve">roposal </w:t>
      </w:r>
      <w:r w:rsidRPr="00BA4645">
        <w:rPr>
          <w:color w:val="0070C0"/>
          <w:kern w:val="24"/>
          <w:szCs w:val="30"/>
        </w:rPr>
        <w:t>5: In case a retransmission needs to be made, the UE switches to Mode 2 based retransmission(s) if the initial transmission was based on Mode 1 resource allocation but PUCCH resources for feedback are not available (i.e. Not provided in the corresponding DCI).</w:t>
      </w:r>
    </w:p>
    <w:p w:rsidR="00C22041" w:rsidRDefault="00C22041" w:rsidP="00BA4645">
      <w:pPr>
        <w:autoSpaceDE/>
        <w:autoSpaceDN/>
        <w:adjustRightInd/>
        <w:snapToGrid/>
        <w:spacing w:after="0" w:line="216" w:lineRule="auto"/>
        <w:contextualSpacing/>
        <w:rPr>
          <w:color w:val="0070C0"/>
          <w:kern w:val="24"/>
          <w:szCs w:val="30"/>
        </w:rPr>
      </w:pPr>
    </w:p>
    <w:p w:rsidR="00790568" w:rsidRDefault="00790568" w:rsidP="00C22041">
      <w:pPr>
        <w:autoSpaceDE/>
        <w:autoSpaceDN/>
        <w:adjustRightInd/>
        <w:snapToGrid/>
        <w:spacing w:after="0" w:line="216" w:lineRule="auto"/>
        <w:contextualSpacing/>
        <w:rPr>
          <w:b/>
          <w:color w:val="0070C0"/>
          <w:kern w:val="24"/>
          <w:szCs w:val="30"/>
        </w:rPr>
      </w:pPr>
    </w:p>
    <w:p w:rsidR="00C22041" w:rsidRDefault="00C22041" w:rsidP="00C22041">
      <w:pPr>
        <w:autoSpaceDE/>
        <w:autoSpaceDN/>
        <w:adjustRightInd/>
        <w:snapToGrid/>
        <w:spacing w:after="0" w:line="216" w:lineRule="auto"/>
        <w:contextualSpacing/>
      </w:pPr>
      <w:r w:rsidRPr="00790568">
        <w:rPr>
          <w:b/>
          <w:color w:val="0070C0"/>
          <w:kern w:val="24"/>
          <w:szCs w:val="30"/>
        </w:rPr>
        <w:t>FB_disabled:</w:t>
      </w:r>
      <w:r>
        <w:rPr>
          <w:color w:val="0070C0"/>
          <w:kern w:val="24"/>
          <w:szCs w:val="30"/>
        </w:rPr>
        <w:t xml:space="preserve"> </w:t>
      </w:r>
      <w:r>
        <w:t>here our understanding is that since the RRC configuration for HF disabled was configured for the highest priority LCH with data, the transmissions itself need to be reliable as well and at least the performance of LTE V2X should be attainable. Therefore, we think that RAN2 understanding would be that Blind retransmission(s) are to be made in this case. Therefore</w:t>
      </w:r>
      <w:r w:rsidRPr="00AE50A8">
        <w:t>:</w:t>
      </w:r>
    </w:p>
    <w:p w:rsidR="00C22041" w:rsidRDefault="00C22041" w:rsidP="00C22041">
      <w:pPr>
        <w:autoSpaceDE/>
        <w:autoSpaceDN/>
        <w:adjustRightInd/>
        <w:snapToGrid/>
        <w:spacing w:after="0" w:line="216" w:lineRule="auto"/>
        <w:contextualSpacing/>
      </w:pPr>
    </w:p>
    <w:p w:rsidR="00A91C02" w:rsidRPr="00C22041" w:rsidRDefault="00F01A5B" w:rsidP="00C22041">
      <w:pPr>
        <w:tabs>
          <w:tab w:val="num" w:pos="1440"/>
        </w:tabs>
        <w:autoSpaceDE/>
        <w:autoSpaceDN/>
        <w:adjustRightInd/>
        <w:snapToGrid/>
        <w:spacing w:after="0" w:line="216" w:lineRule="auto"/>
        <w:contextualSpacing/>
        <w:rPr>
          <w:color w:val="0070C0"/>
          <w:kern w:val="24"/>
          <w:szCs w:val="30"/>
        </w:rPr>
      </w:pPr>
      <w:r w:rsidRPr="00C22041">
        <w:rPr>
          <w:color w:val="0070C0"/>
          <w:kern w:val="24"/>
          <w:szCs w:val="30"/>
        </w:rPr>
        <w:t>P</w:t>
      </w:r>
      <w:r w:rsidR="00372DD5">
        <w:rPr>
          <w:color w:val="0070C0"/>
          <w:kern w:val="24"/>
          <w:szCs w:val="30"/>
        </w:rPr>
        <w:t xml:space="preserve">roposal </w:t>
      </w:r>
      <w:r w:rsidRPr="00C22041">
        <w:rPr>
          <w:color w:val="0070C0"/>
          <w:kern w:val="24"/>
          <w:szCs w:val="30"/>
        </w:rPr>
        <w:t>6: If the “Feedback mode as determined for the entire TB” is “disabled”, blind retransmission(s) will be instructed to the Physical layer while submitting the corresponding TB.</w:t>
      </w:r>
    </w:p>
    <w:p w:rsidR="00C22041" w:rsidRDefault="00C22041" w:rsidP="00C22041">
      <w:pPr>
        <w:autoSpaceDE/>
        <w:autoSpaceDN/>
        <w:adjustRightInd/>
        <w:snapToGrid/>
        <w:spacing w:after="0" w:line="216" w:lineRule="auto"/>
        <w:contextualSpacing/>
      </w:pPr>
    </w:p>
    <w:p w:rsidR="00C22041" w:rsidRDefault="00646FDA" w:rsidP="00646FDA">
      <w:r w:rsidRPr="00646FDA">
        <w:t xml:space="preserve">Once the above details of the HARQ feedback mode has been decided, next the </w:t>
      </w:r>
      <w:r w:rsidRPr="00646FDA">
        <w:rPr>
          <w:color w:val="00B050"/>
        </w:rPr>
        <w:t xml:space="preserve">Allocation of resources </w:t>
      </w:r>
      <w:r w:rsidRPr="00646FDA">
        <w:t>needs to be made.</w:t>
      </w:r>
      <w:r>
        <w:t xml:space="preserve"> Here we assume that </w:t>
      </w:r>
      <w:r w:rsidRPr="00646FDA">
        <w:t>Resources are allocated to the selected logical channel(s) of the selected Destination and HARQ feedback mode (enable/ disable) in the normal (e.g. Uu) way.</w:t>
      </w:r>
    </w:p>
    <w:p w:rsidR="000373B3" w:rsidRDefault="000373B3" w:rsidP="00646FDA"/>
    <w:p w:rsidR="000373B3" w:rsidRDefault="000373B3" w:rsidP="00646FDA">
      <w:r>
        <w:t>On the question of “</w:t>
      </w:r>
      <w:r w:rsidRPr="00790568">
        <w:rPr>
          <w:b/>
          <w:color w:val="00B050"/>
        </w:rPr>
        <w:t>Option 1 or Option 2 based HARQ feedback decision</w:t>
      </w:r>
      <w:r>
        <w:t>”, following was the agreement from RAN1#99:</w:t>
      </w:r>
    </w:p>
    <w:tbl>
      <w:tblPr>
        <w:tblStyle w:val="TableGrid"/>
        <w:tblW w:w="0" w:type="auto"/>
        <w:tblLook w:val="04A0" w:firstRow="1" w:lastRow="0" w:firstColumn="1" w:lastColumn="0" w:noHBand="0" w:noVBand="1"/>
      </w:tblPr>
      <w:tblGrid>
        <w:gridCol w:w="9307"/>
      </w:tblGrid>
      <w:tr w:rsidR="000373B3" w:rsidTr="000373B3">
        <w:tc>
          <w:tcPr>
            <w:tcW w:w="9307" w:type="dxa"/>
          </w:tcPr>
          <w:p w:rsidR="00A91C02" w:rsidRPr="000373B3" w:rsidRDefault="00F01A5B" w:rsidP="00F01A5B">
            <w:pPr>
              <w:numPr>
                <w:ilvl w:val="0"/>
                <w:numId w:val="14"/>
              </w:numPr>
              <w:tabs>
                <w:tab w:val="clear" w:pos="360"/>
              </w:tabs>
            </w:pPr>
            <w:r w:rsidRPr="000373B3">
              <w:rPr>
                <w:i/>
                <w:iCs/>
              </w:rPr>
              <w:lastRenderedPageBreak/>
              <w:t xml:space="preserve">FFS whether to have the following restriction. </w:t>
            </w:r>
          </w:p>
          <w:p w:rsidR="00A91C02" w:rsidRPr="000373B3" w:rsidRDefault="00F01A5B" w:rsidP="00F01A5B">
            <w:pPr>
              <w:numPr>
                <w:ilvl w:val="1"/>
                <w:numId w:val="14"/>
              </w:numPr>
            </w:pPr>
            <w:r w:rsidRPr="000373B3">
              <w:rPr>
                <w:i/>
                <w:iCs/>
              </w:rPr>
              <w:t>Groupcast HARQ feedback option 2 is not used if X &gt; Z*Y (Y denotes the number of PSFCH in a PRB).</w:t>
            </w:r>
          </w:p>
          <w:p w:rsidR="000373B3" w:rsidRDefault="00F01A5B" w:rsidP="00F01A5B">
            <w:pPr>
              <w:numPr>
                <w:ilvl w:val="1"/>
                <w:numId w:val="14"/>
              </w:numPr>
            </w:pPr>
            <w:r w:rsidRPr="000373B3">
              <w:rPr>
                <w:i/>
                <w:iCs/>
              </w:rPr>
              <w:t>Note: RAN1 assumes that the member ID M is an integer between 0 and X-1.</w:t>
            </w:r>
          </w:p>
        </w:tc>
      </w:tr>
    </w:tbl>
    <w:p w:rsidR="000373B3" w:rsidRDefault="000373B3" w:rsidP="00646FDA"/>
    <w:p w:rsidR="007705FE" w:rsidRDefault="007705FE" w:rsidP="00646FDA">
      <w:r>
        <w:t>From RAN2 perspective as well the RAN1 FFS looks quite logical i.e, option 2 based feedback is used as long as the feedback resources are sufficient for receiving feedback from all the group members. Therefore:</w:t>
      </w:r>
    </w:p>
    <w:p w:rsidR="00A91C02" w:rsidRPr="007705FE" w:rsidRDefault="00F01A5B" w:rsidP="007705FE">
      <w:pPr>
        <w:tabs>
          <w:tab w:val="num" w:pos="1440"/>
        </w:tabs>
        <w:autoSpaceDE/>
        <w:autoSpaceDN/>
        <w:adjustRightInd/>
        <w:snapToGrid/>
        <w:spacing w:after="0" w:line="216" w:lineRule="auto"/>
        <w:contextualSpacing/>
        <w:rPr>
          <w:color w:val="0070C0"/>
          <w:kern w:val="24"/>
          <w:szCs w:val="30"/>
        </w:rPr>
      </w:pPr>
      <w:r w:rsidRPr="007705FE">
        <w:rPr>
          <w:color w:val="0070C0"/>
          <w:kern w:val="24"/>
          <w:szCs w:val="30"/>
        </w:rPr>
        <w:t>P</w:t>
      </w:r>
      <w:r w:rsidR="00372DD5">
        <w:rPr>
          <w:color w:val="0070C0"/>
          <w:kern w:val="24"/>
          <w:szCs w:val="30"/>
        </w:rPr>
        <w:t xml:space="preserve">roposal </w:t>
      </w:r>
      <w:r w:rsidRPr="007705FE">
        <w:rPr>
          <w:color w:val="0070C0"/>
          <w:kern w:val="24"/>
          <w:szCs w:val="30"/>
        </w:rPr>
        <w:t>7: RAN2 confirm RAN1 that Option 2 based HARQ feedback is used when feedback based HARQ transmissions are to be made and PSFCH resources are sufficient for the group size indicated by the higher layer.</w:t>
      </w:r>
    </w:p>
    <w:p w:rsidR="007705FE" w:rsidRDefault="007705FE" w:rsidP="00646FDA"/>
    <w:p w:rsidR="00950C9F" w:rsidRPr="00950C9F" w:rsidRDefault="00950C9F" w:rsidP="00950C9F">
      <w:r>
        <w:t>For “</w:t>
      </w:r>
      <w:r w:rsidRPr="00790568">
        <w:rPr>
          <w:b/>
          <w:color w:val="00B050"/>
        </w:rPr>
        <w:t>MCR determination</w:t>
      </w:r>
      <w:r>
        <w:t xml:space="preserve">”, </w:t>
      </w:r>
      <w:r w:rsidRPr="00950C9F">
        <w:t>Following was the agreement from RAN2#108 (Reno)</w:t>
      </w:r>
      <w:r>
        <w:t>:</w:t>
      </w:r>
    </w:p>
    <w:tbl>
      <w:tblPr>
        <w:tblStyle w:val="TableGrid"/>
        <w:tblW w:w="0" w:type="auto"/>
        <w:tblLook w:val="04A0" w:firstRow="1" w:lastRow="0" w:firstColumn="1" w:lastColumn="0" w:noHBand="0" w:noVBand="1"/>
      </w:tblPr>
      <w:tblGrid>
        <w:gridCol w:w="9307"/>
      </w:tblGrid>
      <w:tr w:rsidR="00950C9F" w:rsidTr="00950C9F">
        <w:tc>
          <w:tcPr>
            <w:tcW w:w="9307" w:type="dxa"/>
          </w:tcPr>
          <w:p w:rsidR="00950C9F" w:rsidRDefault="00950C9F" w:rsidP="00950C9F">
            <w:r w:rsidRPr="00950C9F">
              <w:t>“MAC multiplexing and TB generation is done transparently to MCR and for a given destination, highest corresponding MCR is indicated to L1.”</w:t>
            </w:r>
          </w:p>
        </w:tc>
      </w:tr>
    </w:tbl>
    <w:p w:rsidR="00950C9F" w:rsidRDefault="00950C9F" w:rsidP="00950C9F"/>
    <w:p w:rsidR="00950C9F" w:rsidRDefault="00D201BE" w:rsidP="00950C9F">
      <w:r>
        <w:t>Finally, for “</w:t>
      </w:r>
      <w:r w:rsidRPr="00AC0925">
        <w:rPr>
          <w:b/>
        </w:rPr>
        <w:t>Delivering the MAC PDU</w:t>
      </w:r>
      <w:r>
        <w:t>”, following proposal is made:</w:t>
      </w:r>
    </w:p>
    <w:p w:rsidR="00A91C02" w:rsidRPr="00D201BE" w:rsidRDefault="00F01A5B" w:rsidP="00D201BE">
      <w:pPr>
        <w:tabs>
          <w:tab w:val="num" w:pos="1440"/>
        </w:tabs>
        <w:autoSpaceDE/>
        <w:autoSpaceDN/>
        <w:adjustRightInd/>
        <w:snapToGrid/>
        <w:spacing w:after="0" w:line="216" w:lineRule="auto"/>
        <w:contextualSpacing/>
        <w:rPr>
          <w:color w:val="0070C0"/>
          <w:kern w:val="24"/>
          <w:szCs w:val="30"/>
        </w:rPr>
      </w:pPr>
      <w:r w:rsidRPr="00D201BE">
        <w:rPr>
          <w:color w:val="0070C0"/>
          <w:kern w:val="24"/>
          <w:szCs w:val="30"/>
        </w:rPr>
        <w:t>P</w:t>
      </w:r>
      <w:r w:rsidR="00372DD5">
        <w:rPr>
          <w:color w:val="0070C0"/>
          <w:kern w:val="24"/>
          <w:szCs w:val="30"/>
        </w:rPr>
        <w:t xml:space="preserve">roposal </w:t>
      </w:r>
      <w:r w:rsidRPr="00D201BE">
        <w:rPr>
          <w:color w:val="0070C0"/>
          <w:kern w:val="24"/>
          <w:szCs w:val="30"/>
        </w:rPr>
        <w:t>8: Deliver the MAC PDU, the sidelink grant, and either</w:t>
      </w:r>
    </w:p>
    <w:p w:rsidR="00A91C02" w:rsidRPr="00D201BE" w:rsidRDefault="00D201BE" w:rsidP="00F01A5B">
      <w:pPr>
        <w:pStyle w:val="ListParagraph"/>
        <w:numPr>
          <w:ilvl w:val="0"/>
          <w:numId w:val="15"/>
        </w:numPr>
        <w:tabs>
          <w:tab w:val="num" w:pos="1440"/>
        </w:tabs>
        <w:snapToGrid/>
        <w:spacing w:line="216" w:lineRule="auto"/>
        <w:contextualSpacing/>
        <w:rPr>
          <w:color w:val="0070C0"/>
          <w:kern w:val="24"/>
          <w:szCs w:val="30"/>
        </w:rPr>
      </w:pPr>
      <w:r>
        <w:rPr>
          <w:color w:val="0070C0"/>
          <w:kern w:val="24"/>
          <w:szCs w:val="30"/>
        </w:rPr>
        <w:t>Instruct L1</w:t>
      </w:r>
      <w:r w:rsidR="00F01A5B" w:rsidRPr="00D201BE">
        <w:rPr>
          <w:color w:val="0070C0"/>
          <w:kern w:val="24"/>
          <w:szCs w:val="30"/>
        </w:rPr>
        <w:t xml:space="preserve"> for </w:t>
      </w:r>
      <w:r>
        <w:rPr>
          <w:color w:val="0070C0"/>
          <w:kern w:val="24"/>
          <w:szCs w:val="30"/>
        </w:rPr>
        <w:t xml:space="preserve">making </w:t>
      </w:r>
      <w:r w:rsidR="00F01A5B" w:rsidRPr="00D201BE">
        <w:rPr>
          <w:color w:val="0070C0"/>
          <w:kern w:val="24"/>
          <w:szCs w:val="30"/>
        </w:rPr>
        <w:t>Blind-retransmission(s); or,</w:t>
      </w:r>
    </w:p>
    <w:p w:rsidR="00A91C02" w:rsidRPr="00D201BE" w:rsidRDefault="00F01A5B" w:rsidP="00F01A5B">
      <w:pPr>
        <w:pStyle w:val="ListParagraph"/>
        <w:numPr>
          <w:ilvl w:val="0"/>
          <w:numId w:val="15"/>
        </w:numPr>
        <w:tabs>
          <w:tab w:val="num" w:pos="1440"/>
        </w:tabs>
        <w:snapToGrid/>
        <w:spacing w:line="216" w:lineRule="auto"/>
        <w:contextualSpacing/>
        <w:rPr>
          <w:color w:val="0070C0"/>
          <w:kern w:val="24"/>
          <w:szCs w:val="30"/>
        </w:rPr>
      </w:pPr>
      <w:r w:rsidRPr="00D201BE">
        <w:rPr>
          <w:color w:val="0070C0"/>
          <w:kern w:val="24"/>
          <w:szCs w:val="30"/>
        </w:rPr>
        <w:t xml:space="preserve">Indicate HF_Option1/ HF_Option2 and MCR to the lower layer. </w:t>
      </w:r>
    </w:p>
    <w:p w:rsidR="00D201BE" w:rsidRDefault="00D201BE" w:rsidP="00950C9F"/>
    <w:p w:rsidR="00E424BA" w:rsidRPr="00222CA9" w:rsidRDefault="00E424BA" w:rsidP="00222CA9">
      <w:pPr>
        <w:tabs>
          <w:tab w:val="num" w:pos="1440"/>
        </w:tabs>
        <w:autoSpaceDE/>
        <w:autoSpaceDN/>
        <w:adjustRightInd/>
        <w:snapToGrid/>
        <w:spacing w:after="0" w:line="216" w:lineRule="auto"/>
        <w:contextualSpacing/>
      </w:pPr>
      <w:r>
        <w:t>As the only remaining aspect of the Tx UE behavior for making Blind re-</w:t>
      </w:r>
      <w:r w:rsidR="00222CA9">
        <w:t>transmissions</w:t>
      </w:r>
      <w:r>
        <w:t xml:space="preserve">, following </w:t>
      </w:r>
      <w:r w:rsidRPr="00222CA9">
        <w:t>proposals on “</w:t>
      </w:r>
      <w:r w:rsidRPr="00BC56FA">
        <w:rPr>
          <w:b/>
          <w:color w:val="0070C0"/>
        </w:rPr>
        <w:t>Execution of Blind retransmission</w:t>
      </w:r>
      <w:r w:rsidRPr="00222CA9">
        <w:t>” are made:</w:t>
      </w:r>
    </w:p>
    <w:p w:rsidR="00222CA9" w:rsidRPr="00222CA9" w:rsidRDefault="00222CA9" w:rsidP="00222CA9">
      <w:pPr>
        <w:tabs>
          <w:tab w:val="num" w:pos="1440"/>
        </w:tabs>
        <w:autoSpaceDE/>
        <w:autoSpaceDN/>
        <w:adjustRightInd/>
        <w:snapToGrid/>
        <w:spacing w:after="0" w:line="216" w:lineRule="auto"/>
        <w:contextualSpacing/>
        <w:rPr>
          <w:color w:val="0070C0"/>
          <w:kern w:val="24"/>
          <w:szCs w:val="30"/>
        </w:rPr>
      </w:pPr>
    </w:p>
    <w:p w:rsidR="002E07C4" w:rsidRPr="00BC56FA" w:rsidRDefault="002E07C4" w:rsidP="00BC56FA">
      <w:r w:rsidRPr="00BC56FA">
        <w:t>If the dynamic grant contain resources for retransmission as well</w:t>
      </w:r>
      <w:r w:rsidR="003672B4">
        <w:t xml:space="preserve"> (</w:t>
      </w:r>
      <w:bookmarkStart w:id="2" w:name="_GoBack"/>
      <w:r w:rsidR="003672B4" w:rsidRPr="003672B4">
        <w:rPr>
          <w:i/>
        </w:rPr>
        <w:t>agreement copied from RAN1#96bis below</w:t>
      </w:r>
      <w:bookmarkEnd w:id="2"/>
      <w:r w:rsidR="003672B4">
        <w:t>)</w:t>
      </w:r>
      <w:r w:rsidRPr="00BC56FA">
        <w:t xml:space="preserve">, according to the following agreement from RAN1#96 bis, the UE </w:t>
      </w:r>
      <w:r w:rsidR="00A3339A" w:rsidRPr="00BC56FA">
        <w:t xml:space="preserve">may either </w:t>
      </w:r>
      <w:r w:rsidRPr="00BC56FA">
        <w:t>perform Blind retransmission</w:t>
      </w:r>
      <w:r w:rsidR="00A3339A" w:rsidRPr="00BC56FA">
        <w:t xml:space="preserve"> when no PUCCH resource is included or, may still do HARQ feedback based re-transmission and indicate the final feedback (corresponding to the last retransmission) to the gNB if the PUCCH resource were included in the DCI.</w:t>
      </w:r>
    </w:p>
    <w:p w:rsidR="002E07C4" w:rsidRDefault="002E07C4" w:rsidP="00222CA9">
      <w:pPr>
        <w:tabs>
          <w:tab w:val="num" w:pos="1440"/>
        </w:tabs>
        <w:autoSpaceDE/>
        <w:autoSpaceDN/>
        <w:adjustRightInd/>
        <w:snapToGrid/>
        <w:spacing w:after="0" w:line="216" w:lineRule="auto"/>
        <w:contextualSpacing/>
        <w:rPr>
          <w:color w:val="0070C0"/>
          <w:kern w:val="24"/>
          <w:szCs w:val="30"/>
        </w:rPr>
      </w:pPr>
    </w:p>
    <w:tbl>
      <w:tblPr>
        <w:tblStyle w:val="TableGrid"/>
        <w:tblW w:w="0" w:type="auto"/>
        <w:tblLook w:val="04A0" w:firstRow="1" w:lastRow="0" w:firstColumn="1" w:lastColumn="0" w:noHBand="0" w:noVBand="1"/>
      </w:tblPr>
      <w:tblGrid>
        <w:gridCol w:w="9307"/>
      </w:tblGrid>
      <w:tr w:rsidR="002E07C4" w:rsidTr="002E07C4">
        <w:tc>
          <w:tcPr>
            <w:tcW w:w="9307" w:type="dxa"/>
          </w:tcPr>
          <w:p w:rsidR="002E07C4" w:rsidRDefault="002E07C4" w:rsidP="002E07C4">
            <w:pPr>
              <w:spacing w:before="40" w:after="40"/>
            </w:pPr>
            <w:r>
              <w:rPr>
                <w:sz w:val="24"/>
                <w:szCs w:val="24"/>
              </w:rPr>
              <w:t>Agreements:</w:t>
            </w:r>
          </w:p>
          <w:p w:rsidR="002E07C4" w:rsidRPr="002E07C4" w:rsidRDefault="002E07C4" w:rsidP="002E07C4">
            <w:pPr>
              <w:rPr>
                <w:lang w:eastAsia="zh-TW"/>
              </w:rPr>
            </w:pPr>
            <w:r>
              <w:rPr>
                <w:sz w:val="24"/>
                <w:szCs w:val="24"/>
              </w:rPr>
              <w:t>·         A dynamic grant provides resources for one or multiple sidelink transmissions of a single TB.</w:t>
            </w:r>
          </w:p>
        </w:tc>
      </w:tr>
    </w:tbl>
    <w:p w:rsidR="002E07C4" w:rsidRDefault="002E07C4" w:rsidP="00222CA9">
      <w:pPr>
        <w:tabs>
          <w:tab w:val="num" w:pos="1440"/>
        </w:tabs>
        <w:autoSpaceDE/>
        <w:autoSpaceDN/>
        <w:adjustRightInd/>
        <w:snapToGrid/>
        <w:spacing w:after="0" w:line="216" w:lineRule="auto"/>
        <w:contextualSpacing/>
        <w:rPr>
          <w:color w:val="0070C0"/>
          <w:kern w:val="24"/>
          <w:szCs w:val="30"/>
        </w:rPr>
      </w:pPr>
    </w:p>
    <w:p w:rsidR="002E07C4" w:rsidRDefault="002E07C4" w:rsidP="00222CA9">
      <w:pPr>
        <w:tabs>
          <w:tab w:val="num" w:pos="1440"/>
        </w:tabs>
        <w:autoSpaceDE/>
        <w:autoSpaceDN/>
        <w:adjustRightInd/>
        <w:snapToGrid/>
        <w:spacing w:after="0" w:line="216" w:lineRule="auto"/>
        <w:contextualSpacing/>
        <w:rPr>
          <w:color w:val="0070C0"/>
          <w:kern w:val="24"/>
          <w:szCs w:val="30"/>
        </w:rPr>
      </w:pPr>
    </w:p>
    <w:p w:rsidR="00A3339A" w:rsidRPr="00BC56FA" w:rsidRDefault="00A3339A" w:rsidP="00BC56FA">
      <w:r w:rsidRPr="00BC56FA">
        <w:t>Further, if the dynamic grant contain resources for only single transmission, then the following proposals are made:</w:t>
      </w:r>
    </w:p>
    <w:p w:rsidR="00A3339A" w:rsidRDefault="00A3339A" w:rsidP="00222CA9">
      <w:pPr>
        <w:tabs>
          <w:tab w:val="num" w:pos="1440"/>
        </w:tabs>
        <w:autoSpaceDE/>
        <w:autoSpaceDN/>
        <w:adjustRightInd/>
        <w:snapToGrid/>
        <w:spacing w:after="0" w:line="216" w:lineRule="auto"/>
        <w:contextualSpacing/>
        <w:rPr>
          <w:color w:val="0070C0"/>
          <w:kern w:val="24"/>
          <w:szCs w:val="30"/>
        </w:rPr>
      </w:pPr>
    </w:p>
    <w:p w:rsidR="00222CA9" w:rsidRPr="00222CA9" w:rsidRDefault="00222CA9" w:rsidP="00222CA9">
      <w:pPr>
        <w:tabs>
          <w:tab w:val="num" w:pos="1440"/>
        </w:tabs>
        <w:autoSpaceDE/>
        <w:autoSpaceDN/>
        <w:adjustRightInd/>
        <w:snapToGrid/>
        <w:spacing w:after="0" w:line="216" w:lineRule="auto"/>
        <w:contextualSpacing/>
        <w:rPr>
          <w:color w:val="0070C0"/>
          <w:kern w:val="24"/>
          <w:szCs w:val="30"/>
        </w:rPr>
      </w:pPr>
      <w:r w:rsidRPr="00222CA9">
        <w:rPr>
          <w:color w:val="0070C0"/>
          <w:kern w:val="24"/>
          <w:szCs w:val="30"/>
        </w:rPr>
        <w:t>P</w:t>
      </w:r>
      <w:r w:rsidR="00372DD5">
        <w:rPr>
          <w:color w:val="0070C0"/>
          <w:kern w:val="24"/>
          <w:szCs w:val="30"/>
        </w:rPr>
        <w:t xml:space="preserve">roposal </w:t>
      </w:r>
      <w:r w:rsidRPr="00222CA9">
        <w:rPr>
          <w:color w:val="0070C0"/>
          <w:kern w:val="24"/>
          <w:szCs w:val="30"/>
        </w:rPr>
        <w:t xml:space="preserve">9: If the PUCCH resource is signaled in the DCI for mode 1 dynamic grant </w:t>
      </w:r>
      <w:r w:rsidR="002E07C4" w:rsidRPr="008028A6">
        <w:rPr>
          <w:color w:val="0070C0"/>
          <w:kern w:val="24"/>
          <w:szCs w:val="30"/>
        </w:rPr>
        <w:t xml:space="preserve">containing single transmission resource </w:t>
      </w:r>
      <w:r w:rsidRPr="008028A6">
        <w:rPr>
          <w:color w:val="0070C0"/>
          <w:kern w:val="24"/>
          <w:szCs w:val="30"/>
        </w:rPr>
        <w:t>and</w:t>
      </w:r>
      <w:r w:rsidRPr="00222CA9">
        <w:rPr>
          <w:color w:val="0070C0"/>
          <w:kern w:val="24"/>
          <w:szCs w:val="30"/>
        </w:rPr>
        <w:t xml:space="preserve"> Tx UE decides to make Blind re-transmissions, it will signal „Nack“ back to the gNB (the Tx UE does not solicit any HARQ feedback from the Rx UE(s)).</w:t>
      </w:r>
    </w:p>
    <w:p w:rsidR="0048619C" w:rsidRDefault="0048619C" w:rsidP="00222CA9">
      <w:pPr>
        <w:tabs>
          <w:tab w:val="num" w:pos="1440"/>
        </w:tabs>
        <w:autoSpaceDE/>
        <w:autoSpaceDN/>
        <w:adjustRightInd/>
        <w:snapToGrid/>
        <w:spacing w:after="0" w:line="216" w:lineRule="auto"/>
        <w:contextualSpacing/>
        <w:rPr>
          <w:color w:val="0070C0"/>
          <w:kern w:val="24"/>
          <w:szCs w:val="30"/>
        </w:rPr>
      </w:pPr>
    </w:p>
    <w:p w:rsidR="00222CA9" w:rsidRPr="00222CA9" w:rsidRDefault="00222CA9" w:rsidP="00222CA9">
      <w:pPr>
        <w:tabs>
          <w:tab w:val="num" w:pos="1440"/>
        </w:tabs>
        <w:autoSpaceDE/>
        <w:autoSpaceDN/>
        <w:adjustRightInd/>
        <w:snapToGrid/>
        <w:spacing w:after="0" w:line="216" w:lineRule="auto"/>
        <w:contextualSpacing/>
        <w:rPr>
          <w:color w:val="0070C0"/>
          <w:kern w:val="24"/>
          <w:szCs w:val="30"/>
        </w:rPr>
      </w:pPr>
      <w:r w:rsidRPr="00222CA9">
        <w:rPr>
          <w:color w:val="0070C0"/>
          <w:kern w:val="24"/>
          <w:szCs w:val="30"/>
        </w:rPr>
        <w:t>P</w:t>
      </w:r>
      <w:r w:rsidR="00372DD5">
        <w:rPr>
          <w:color w:val="0070C0"/>
          <w:kern w:val="24"/>
          <w:szCs w:val="30"/>
        </w:rPr>
        <w:t xml:space="preserve">roposal </w:t>
      </w:r>
      <w:r w:rsidRPr="00222CA9">
        <w:rPr>
          <w:color w:val="0070C0"/>
          <w:kern w:val="24"/>
          <w:szCs w:val="30"/>
        </w:rPr>
        <w:t>10: If the PUCCH resources are not available, the UE could autonomously switch to Mode 2 based Blind re-transmissions (the Tx UE does not solicit any HARQ feedback from the Rx UE(s))</w:t>
      </w:r>
      <w:r w:rsidR="00BC56FA">
        <w:rPr>
          <w:color w:val="0070C0"/>
          <w:kern w:val="24"/>
          <w:szCs w:val="30"/>
        </w:rPr>
        <w:t xml:space="preserve"> when (further) retransmission(s) need to be made</w:t>
      </w:r>
      <w:r w:rsidRPr="00222CA9">
        <w:rPr>
          <w:color w:val="0070C0"/>
          <w:kern w:val="24"/>
          <w:szCs w:val="30"/>
        </w:rPr>
        <w:t>.</w:t>
      </w:r>
    </w:p>
    <w:p w:rsidR="00E424BA" w:rsidRPr="00646FDA" w:rsidRDefault="00E424BA" w:rsidP="00950C9F"/>
    <w:p w:rsidR="0082623E" w:rsidRPr="00B361F8" w:rsidRDefault="0082623E"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lastRenderedPageBreak/>
        <w:t>Conclusion</w:t>
      </w:r>
      <w:r w:rsidR="00F5101B" w:rsidRPr="00B361F8">
        <w:rPr>
          <w:rFonts w:ascii="Times New Roman" w:eastAsia="SimSun" w:hAnsi="Times New Roman"/>
          <w:b w:val="0"/>
          <w:bCs w:val="0"/>
          <w:sz w:val="36"/>
          <w:szCs w:val="20"/>
          <w:lang w:eastAsia="ja-JP"/>
        </w:rPr>
        <w:t>s</w:t>
      </w:r>
    </w:p>
    <w:p w:rsidR="0048619C" w:rsidRDefault="00DE6D12" w:rsidP="0048619C">
      <w:r w:rsidRPr="00B361F8">
        <w:t xml:space="preserve">This contribution addressed </w:t>
      </w:r>
      <w:r w:rsidR="008268C0">
        <w:t xml:space="preserve">the Tx UE behavior with respect to HARQ feedback that was discussed in RAN1#99 </w:t>
      </w:r>
      <w:r w:rsidR="00973B27">
        <w:t xml:space="preserve">and </w:t>
      </w:r>
      <w:r w:rsidR="008268C0">
        <w:t>then left to RAN2 to make decisions. T</w:t>
      </w:r>
      <w:r w:rsidR="00973B27">
        <w:t>he following proposals are made:</w:t>
      </w:r>
    </w:p>
    <w:p w:rsidR="00973B27" w:rsidRPr="008268C0" w:rsidRDefault="00973B27" w:rsidP="00973B27">
      <w:pPr>
        <w:rPr>
          <w:b/>
        </w:rPr>
      </w:pPr>
      <w:r w:rsidRPr="008268C0">
        <w:rPr>
          <w:b/>
        </w:rPr>
        <w:t>P1: The HF Enabled/ Disabled configuration of the highest priority LCH determining the destination will determine the HF Enabled/ Disabled for the entire TB.</w:t>
      </w:r>
    </w:p>
    <w:p w:rsidR="00973B27" w:rsidRPr="008268C0" w:rsidRDefault="00973B27" w:rsidP="00973B27">
      <w:pPr>
        <w:rPr>
          <w:b/>
        </w:rPr>
      </w:pPr>
      <w:r w:rsidRPr="008268C0">
        <w:rPr>
          <w:b/>
        </w:rPr>
        <w:t>P2: Select only those LCH of the selected destination having the same Feedback mode as determined for the entire TB. The LCP procedure is run on the resulting LCH procedure.</w:t>
      </w:r>
    </w:p>
    <w:p w:rsidR="00973B27" w:rsidRPr="008268C0" w:rsidRDefault="00973B27" w:rsidP="00973B27">
      <w:pPr>
        <w:rPr>
          <w:b/>
        </w:rPr>
      </w:pPr>
      <w:r w:rsidRPr="008268C0">
        <w:rPr>
          <w:b/>
        </w:rPr>
        <w:t>P3: If the “Feedback mode as determined for the entire TB” is “enabled”, SL feedback is requested in SCI from the receivers.</w:t>
      </w:r>
    </w:p>
    <w:p w:rsidR="00973B27" w:rsidRPr="008268C0" w:rsidRDefault="00973B27" w:rsidP="00973B27">
      <w:pPr>
        <w:rPr>
          <w:b/>
        </w:rPr>
      </w:pPr>
      <w:r w:rsidRPr="008268C0">
        <w:rPr>
          <w:b/>
        </w:rPr>
        <w:t>P4: In case a retransmission needs to be made, a NACK is signalled to gNB if the initial transmission was based on Mode 1 resource allocation and PUCCH resources for feedback are available (in the corresponding DCI).</w:t>
      </w:r>
    </w:p>
    <w:p w:rsidR="00973B27" w:rsidRPr="008268C0" w:rsidRDefault="00973B27" w:rsidP="00973B27">
      <w:pPr>
        <w:rPr>
          <w:b/>
        </w:rPr>
      </w:pPr>
      <w:r w:rsidRPr="008268C0">
        <w:rPr>
          <w:b/>
        </w:rPr>
        <w:t xml:space="preserve">P5: In case a retransmission needs to be made, the UE switches to Mode 2 based retransmission(s) if the initial transmission was based on Mode 1 resource allocation but PUCCH resources for feedback are </w:t>
      </w:r>
      <w:r w:rsidRPr="008268C0">
        <w:rPr>
          <w:b/>
          <w:u w:val="single"/>
        </w:rPr>
        <w:t>not</w:t>
      </w:r>
      <w:r w:rsidRPr="008268C0">
        <w:rPr>
          <w:b/>
        </w:rPr>
        <w:t xml:space="preserve"> available (i.e. Not provided in the corresponding DCI).</w:t>
      </w:r>
    </w:p>
    <w:p w:rsidR="00973B27" w:rsidRPr="008268C0" w:rsidRDefault="00973B27" w:rsidP="00973B27">
      <w:pPr>
        <w:rPr>
          <w:b/>
        </w:rPr>
      </w:pPr>
      <w:r w:rsidRPr="008268C0">
        <w:rPr>
          <w:b/>
        </w:rPr>
        <w:t>P6: If the “Feedback mode as determined for the entire TB” is “disabled”, blind retransmission(s) will be instructed to the Physical layer while submitting the corresponding TB.</w:t>
      </w:r>
    </w:p>
    <w:p w:rsidR="00973B27" w:rsidRPr="008268C0" w:rsidRDefault="00973B27" w:rsidP="00973B27">
      <w:pPr>
        <w:rPr>
          <w:b/>
        </w:rPr>
      </w:pPr>
      <w:r w:rsidRPr="008268C0">
        <w:rPr>
          <w:b/>
        </w:rPr>
        <w:t>P7: RAN2 confirm RAN1 that Option 2 based HARQ feedback is used when feedback based HARQ transmissions are to be made and PSFCH resources are sufficient for the group size indicated by the higher layer.</w:t>
      </w:r>
    </w:p>
    <w:p w:rsidR="00973B27" w:rsidRPr="008268C0" w:rsidRDefault="00973B27" w:rsidP="00973B27">
      <w:pPr>
        <w:rPr>
          <w:b/>
        </w:rPr>
      </w:pPr>
      <w:r w:rsidRPr="008268C0">
        <w:rPr>
          <w:b/>
        </w:rPr>
        <w:t>P8: Deliver the MAC PDU, the sidelink grant, and either</w:t>
      </w:r>
    </w:p>
    <w:p w:rsidR="002F4794" w:rsidRPr="008268C0" w:rsidRDefault="00445DAF" w:rsidP="00973B27">
      <w:pPr>
        <w:numPr>
          <w:ilvl w:val="1"/>
          <w:numId w:val="16"/>
        </w:numPr>
        <w:rPr>
          <w:b/>
        </w:rPr>
      </w:pPr>
      <w:r w:rsidRPr="008268C0">
        <w:rPr>
          <w:b/>
        </w:rPr>
        <w:t>instruction for Blind-retransmission(s); or,</w:t>
      </w:r>
    </w:p>
    <w:p w:rsidR="002F4794" w:rsidRPr="008268C0" w:rsidRDefault="00445DAF" w:rsidP="00973B27">
      <w:pPr>
        <w:numPr>
          <w:ilvl w:val="1"/>
          <w:numId w:val="16"/>
        </w:numPr>
        <w:rPr>
          <w:b/>
        </w:rPr>
      </w:pPr>
      <w:r w:rsidRPr="008268C0">
        <w:rPr>
          <w:b/>
        </w:rPr>
        <w:t xml:space="preserve">Indicate HF_Option1/ HF_Option2 and MCR to the lower layer. </w:t>
      </w:r>
    </w:p>
    <w:p w:rsidR="00973B27" w:rsidRPr="008268C0" w:rsidRDefault="00973B27" w:rsidP="00973B27">
      <w:pPr>
        <w:rPr>
          <w:b/>
        </w:rPr>
      </w:pPr>
      <w:r w:rsidRPr="008268C0">
        <w:rPr>
          <w:b/>
        </w:rPr>
        <w:t>P9: If the PUCCH resource is signaled in the DCI for mode 1 dynamic grant and Tx UE decides to make Blind re-transmissions, it will signal „Nack“ back to the gNB (the Tx UE does not solicit any HARQ feedback from the Rx UE(s)).</w:t>
      </w:r>
    </w:p>
    <w:p w:rsidR="00973B27" w:rsidRPr="008268C0" w:rsidRDefault="00973B27" w:rsidP="0048619C">
      <w:pPr>
        <w:rPr>
          <w:b/>
        </w:rPr>
      </w:pPr>
      <w:r w:rsidRPr="008268C0">
        <w:rPr>
          <w:b/>
        </w:rPr>
        <w:t>P10: If the PUCCH resources are not available, the UE could autonomously switch to Mode 2 based Blind re-transmissions (the Tx UE does not solicit any HARQ feedback from the Rx UE(s)).</w:t>
      </w:r>
    </w:p>
    <w:p w:rsidR="00005FED" w:rsidRPr="00B361F8" w:rsidRDefault="00005FED" w:rsidP="00005FED"/>
    <w:p w:rsidR="00620D8F" w:rsidRPr="00B361F8" w:rsidRDefault="00620D8F" w:rsidP="006D7601">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References</w:t>
      </w:r>
    </w:p>
    <w:sectPr w:rsidR="00620D8F" w:rsidRPr="00B361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4DE" w:rsidRDefault="007944DE">
      <w:r>
        <w:separator/>
      </w:r>
    </w:p>
  </w:endnote>
  <w:endnote w:type="continuationSeparator" w:id="0">
    <w:p w:rsidR="007944DE" w:rsidRDefault="00794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4DE" w:rsidRDefault="007944DE">
      <w:r>
        <w:separator/>
      </w:r>
    </w:p>
  </w:footnote>
  <w:footnote w:type="continuationSeparator" w:id="0">
    <w:p w:rsidR="007944DE" w:rsidRDefault="007944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C56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AC2F64"/>
    <w:multiLevelType w:val="hybridMultilevel"/>
    <w:tmpl w:val="AA5E5044"/>
    <w:lvl w:ilvl="0" w:tplc="D0A4AABA">
      <w:start w:val="1"/>
      <w:numFmt w:val="decimal"/>
      <w:lvlText w:val="%1."/>
      <w:lvlJc w:val="left"/>
      <w:pPr>
        <w:tabs>
          <w:tab w:val="num" w:pos="-860"/>
        </w:tabs>
        <w:ind w:left="-860" w:hanging="360"/>
      </w:pPr>
    </w:lvl>
    <w:lvl w:ilvl="1" w:tplc="168A1020">
      <w:start w:val="1"/>
      <w:numFmt w:val="lowerLetter"/>
      <w:lvlText w:val="%2)"/>
      <w:lvlJc w:val="left"/>
      <w:pPr>
        <w:tabs>
          <w:tab w:val="num" w:pos="-140"/>
        </w:tabs>
        <w:ind w:left="-140" w:hanging="360"/>
      </w:pPr>
    </w:lvl>
    <w:lvl w:ilvl="2" w:tplc="F7C87A62">
      <w:numFmt w:val="bullet"/>
      <w:lvlText w:val="•"/>
      <w:lvlJc w:val="left"/>
      <w:pPr>
        <w:tabs>
          <w:tab w:val="num" w:pos="580"/>
        </w:tabs>
        <w:ind w:left="580" w:hanging="360"/>
      </w:pPr>
      <w:rPr>
        <w:rFonts w:ascii="Arial" w:hAnsi="Arial" w:hint="default"/>
      </w:rPr>
    </w:lvl>
    <w:lvl w:ilvl="3" w:tplc="740440B6" w:tentative="1">
      <w:start w:val="1"/>
      <w:numFmt w:val="decimal"/>
      <w:lvlText w:val="%4."/>
      <w:lvlJc w:val="left"/>
      <w:pPr>
        <w:tabs>
          <w:tab w:val="num" w:pos="1300"/>
        </w:tabs>
        <w:ind w:left="1300" w:hanging="360"/>
      </w:pPr>
    </w:lvl>
    <w:lvl w:ilvl="4" w:tplc="F16687CC" w:tentative="1">
      <w:start w:val="1"/>
      <w:numFmt w:val="decimal"/>
      <w:lvlText w:val="%5."/>
      <w:lvlJc w:val="left"/>
      <w:pPr>
        <w:tabs>
          <w:tab w:val="num" w:pos="2020"/>
        </w:tabs>
        <w:ind w:left="2020" w:hanging="360"/>
      </w:pPr>
    </w:lvl>
    <w:lvl w:ilvl="5" w:tplc="31AC03F8" w:tentative="1">
      <w:start w:val="1"/>
      <w:numFmt w:val="decimal"/>
      <w:lvlText w:val="%6."/>
      <w:lvlJc w:val="left"/>
      <w:pPr>
        <w:tabs>
          <w:tab w:val="num" w:pos="2740"/>
        </w:tabs>
        <w:ind w:left="2740" w:hanging="360"/>
      </w:pPr>
    </w:lvl>
    <w:lvl w:ilvl="6" w:tplc="8D72EDF0" w:tentative="1">
      <w:start w:val="1"/>
      <w:numFmt w:val="decimal"/>
      <w:lvlText w:val="%7."/>
      <w:lvlJc w:val="left"/>
      <w:pPr>
        <w:tabs>
          <w:tab w:val="num" w:pos="3460"/>
        </w:tabs>
        <w:ind w:left="3460" w:hanging="360"/>
      </w:pPr>
    </w:lvl>
    <w:lvl w:ilvl="7" w:tplc="AE5C8E30" w:tentative="1">
      <w:start w:val="1"/>
      <w:numFmt w:val="decimal"/>
      <w:lvlText w:val="%8."/>
      <w:lvlJc w:val="left"/>
      <w:pPr>
        <w:tabs>
          <w:tab w:val="num" w:pos="4180"/>
        </w:tabs>
        <w:ind w:left="4180" w:hanging="360"/>
      </w:pPr>
    </w:lvl>
    <w:lvl w:ilvl="8" w:tplc="37DC7434" w:tentative="1">
      <w:start w:val="1"/>
      <w:numFmt w:val="decimal"/>
      <w:lvlText w:val="%9."/>
      <w:lvlJc w:val="left"/>
      <w:pPr>
        <w:tabs>
          <w:tab w:val="num" w:pos="4900"/>
        </w:tabs>
        <w:ind w:left="4900" w:hanging="360"/>
      </w:pPr>
    </w:lvl>
  </w:abstractNum>
  <w:abstractNum w:abstractNumId="2" w15:restartNumberingAfterBreak="0">
    <w:nsid w:val="219C139E"/>
    <w:multiLevelType w:val="hybridMultilevel"/>
    <w:tmpl w:val="7D6ADD8E"/>
    <w:lvl w:ilvl="0" w:tplc="2158A318">
      <w:start w:val="1"/>
      <w:numFmt w:val="bullet"/>
      <w:lvlText w:val=""/>
      <w:lvlJc w:val="left"/>
      <w:pPr>
        <w:tabs>
          <w:tab w:val="num" w:pos="720"/>
        </w:tabs>
        <w:ind w:left="720" w:hanging="360"/>
      </w:pPr>
      <w:rPr>
        <w:rFonts w:ascii="Wingdings" w:hAnsi="Wingdings" w:hint="default"/>
      </w:rPr>
    </w:lvl>
    <w:lvl w:ilvl="1" w:tplc="46EAE46E">
      <w:start w:val="1"/>
      <w:numFmt w:val="bullet"/>
      <w:lvlText w:val=""/>
      <w:lvlJc w:val="left"/>
      <w:pPr>
        <w:tabs>
          <w:tab w:val="num" w:pos="1440"/>
        </w:tabs>
        <w:ind w:left="1440" w:hanging="360"/>
      </w:pPr>
      <w:rPr>
        <w:rFonts w:ascii="Wingdings" w:hAnsi="Wingdings" w:hint="default"/>
      </w:rPr>
    </w:lvl>
    <w:lvl w:ilvl="2" w:tplc="E09C415C" w:tentative="1">
      <w:start w:val="1"/>
      <w:numFmt w:val="bullet"/>
      <w:lvlText w:val=""/>
      <w:lvlJc w:val="left"/>
      <w:pPr>
        <w:tabs>
          <w:tab w:val="num" w:pos="2160"/>
        </w:tabs>
        <w:ind w:left="2160" w:hanging="360"/>
      </w:pPr>
      <w:rPr>
        <w:rFonts w:ascii="Wingdings" w:hAnsi="Wingdings" w:hint="default"/>
      </w:rPr>
    </w:lvl>
    <w:lvl w:ilvl="3" w:tplc="EB188F1E" w:tentative="1">
      <w:start w:val="1"/>
      <w:numFmt w:val="bullet"/>
      <w:lvlText w:val=""/>
      <w:lvlJc w:val="left"/>
      <w:pPr>
        <w:tabs>
          <w:tab w:val="num" w:pos="2880"/>
        </w:tabs>
        <w:ind w:left="2880" w:hanging="360"/>
      </w:pPr>
      <w:rPr>
        <w:rFonts w:ascii="Wingdings" w:hAnsi="Wingdings" w:hint="default"/>
      </w:rPr>
    </w:lvl>
    <w:lvl w:ilvl="4" w:tplc="FB8CEB10" w:tentative="1">
      <w:start w:val="1"/>
      <w:numFmt w:val="bullet"/>
      <w:lvlText w:val=""/>
      <w:lvlJc w:val="left"/>
      <w:pPr>
        <w:tabs>
          <w:tab w:val="num" w:pos="3600"/>
        </w:tabs>
        <w:ind w:left="3600" w:hanging="360"/>
      </w:pPr>
      <w:rPr>
        <w:rFonts w:ascii="Wingdings" w:hAnsi="Wingdings" w:hint="default"/>
      </w:rPr>
    </w:lvl>
    <w:lvl w:ilvl="5" w:tplc="5630BF82" w:tentative="1">
      <w:start w:val="1"/>
      <w:numFmt w:val="bullet"/>
      <w:lvlText w:val=""/>
      <w:lvlJc w:val="left"/>
      <w:pPr>
        <w:tabs>
          <w:tab w:val="num" w:pos="4320"/>
        </w:tabs>
        <w:ind w:left="4320" w:hanging="360"/>
      </w:pPr>
      <w:rPr>
        <w:rFonts w:ascii="Wingdings" w:hAnsi="Wingdings" w:hint="default"/>
      </w:rPr>
    </w:lvl>
    <w:lvl w:ilvl="6" w:tplc="725A5958" w:tentative="1">
      <w:start w:val="1"/>
      <w:numFmt w:val="bullet"/>
      <w:lvlText w:val=""/>
      <w:lvlJc w:val="left"/>
      <w:pPr>
        <w:tabs>
          <w:tab w:val="num" w:pos="5040"/>
        </w:tabs>
        <w:ind w:left="5040" w:hanging="360"/>
      </w:pPr>
      <w:rPr>
        <w:rFonts w:ascii="Wingdings" w:hAnsi="Wingdings" w:hint="default"/>
      </w:rPr>
    </w:lvl>
    <w:lvl w:ilvl="7" w:tplc="097C40E0" w:tentative="1">
      <w:start w:val="1"/>
      <w:numFmt w:val="bullet"/>
      <w:lvlText w:val=""/>
      <w:lvlJc w:val="left"/>
      <w:pPr>
        <w:tabs>
          <w:tab w:val="num" w:pos="5760"/>
        </w:tabs>
        <w:ind w:left="5760" w:hanging="360"/>
      </w:pPr>
      <w:rPr>
        <w:rFonts w:ascii="Wingdings" w:hAnsi="Wingdings" w:hint="default"/>
      </w:rPr>
    </w:lvl>
    <w:lvl w:ilvl="8" w:tplc="33B87CC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8A0AA3"/>
    <w:multiLevelType w:val="hybridMultilevel"/>
    <w:tmpl w:val="A2F65444"/>
    <w:lvl w:ilvl="0" w:tplc="26E6C792">
      <w:start w:val="1"/>
      <w:numFmt w:val="bullet"/>
      <w:lvlText w:val="•"/>
      <w:lvlJc w:val="left"/>
      <w:pPr>
        <w:tabs>
          <w:tab w:val="num" w:pos="360"/>
        </w:tabs>
        <w:ind w:left="360" w:hanging="360"/>
      </w:pPr>
      <w:rPr>
        <w:rFonts w:ascii="Arial" w:hAnsi="Arial" w:hint="default"/>
      </w:rPr>
    </w:lvl>
    <w:lvl w:ilvl="1" w:tplc="B29EFB44">
      <w:start w:val="1"/>
      <w:numFmt w:val="bullet"/>
      <w:lvlText w:val="•"/>
      <w:lvlJc w:val="left"/>
      <w:pPr>
        <w:tabs>
          <w:tab w:val="num" w:pos="1080"/>
        </w:tabs>
        <w:ind w:left="1080" w:hanging="360"/>
      </w:pPr>
      <w:rPr>
        <w:rFonts w:ascii="Arial" w:hAnsi="Arial" w:hint="default"/>
      </w:rPr>
    </w:lvl>
    <w:lvl w:ilvl="2" w:tplc="28C6B2B6">
      <w:start w:val="1"/>
      <w:numFmt w:val="bullet"/>
      <w:lvlText w:val="•"/>
      <w:lvlJc w:val="left"/>
      <w:pPr>
        <w:tabs>
          <w:tab w:val="num" w:pos="1800"/>
        </w:tabs>
        <w:ind w:left="1800" w:hanging="360"/>
      </w:pPr>
      <w:rPr>
        <w:rFonts w:ascii="Arial" w:hAnsi="Arial" w:hint="default"/>
      </w:rPr>
    </w:lvl>
    <w:lvl w:ilvl="3" w:tplc="9D72C74C">
      <w:numFmt w:val="bullet"/>
      <w:lvlText w:val="•"/>
      <w:lvlJc w:val="left"/>
      <w:pPr>
        <w:tabs>
          <w:tab w:val="num" w:pos="2520"/>
        </w:tabs>
        <w:ind w:left="2520" w:hanging="360"/>
      </w:pPr>
      <w:rPr>
        <w:rFonts w:ascii="Arial" w:hAnsi="Arial" w:hint="default"/>
      </w:rPr>
    </w:lvl>
    <w:lvl w:ilvl="4" w:tplc="6A4AF800" w:tentative="1">
      <w:start w:val="1"/>
      <w:numFmt w:val="bullet"/>
      <w:lvlText w:val="•"/>
      <w:lvlJc w:val="left"/>
      <w:pPr>
        <w:tabs>
          <w:tab w:val="num" w:pos="3240"/>
        </w:tabs>
        <w:ind w:left="3240" w:hanging="360"/>
      </w:pPr>
      <w:rPr>
        <w:rFonts w:ascii="Arial" w:hAnsi="Arial" w:hint="default"/>
      </w:rPr>
    </w:lvl>
    <w:lvl w:ilvl="5" w:tplc="C0F4FDEE" w:tentative="1">
      <w:start w:val="1"/>
      <w:numFmt w:val="bullet"/>
      <w:lvlText w:val="•"/>
      <w:lvlJc w:val="left"/>
      <w:pPr>
        <w:tabs>
          <w:tab w:val="num" w:pos="3960"/>
        </w:tabs>
        <w:ind w:left="3960" w:hanging="360"/>
      </w:pPr>
      <w:rPr>
        <w:rFonts w:ascii="Arial" w:hAnsi="Arial" w:hint="default"/>
      </w:rPr>
    </w:lvl>
    <w:lvl w:ilvl="6" w:tplc="4BFC56E6" w:tentative="1">
      <w:start w:val="1"/>
      <w:numFmt w:val="bullet"/>
      <w:lvlText w:val="•"/>
      <w:lvlJc w:val="left"/>
      <w:pPr>
        <w:tabs>
          <w:tab w:val="num" w:pos="4680"/>
        </w:tabs>
        <w:ind w:left="4680" w:hanging="360"/>
      </w:pPr>
      <w:rPr>
        <w:rFonts w:ascii="Arial" w:hAnsi="Arial" w:hint="default"/>
      </w:rPr>
    </w:lvl>
    <w:lvl w:ilvl="7" w:tplc="4EC89E00" w:tentative="1">
      <w:start w:val="1"/>
      <w:numFmt w:val="bullet"/>
      <w:lvlText w:val="•"/>
      <w:lvlJc w:val="left"/>
      <w:pPr>
        <w:tabs>
          <w:tab w:val="num" w:pos="5400"/>
        </w:tabs>
        <w:ind w:left="5400" w:hanging="360"/>
      </w:pPr>
      <w:rPr>
        <w:rFonts w:ascii="Arial" w:hAnsi="Arial" w:hint="default"/>
      </w:rPr>
    </w:lvl>
    <w:lvl w:ilvl="8" w:tplc="FB5470F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7852C3F"/>
    <w:multiLevelType w:val="hybridMultilevel"/>
    <w:tmpl w:val="4CD02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4"/>
  </w:num>
  <w:num w:numId="3">
    <w:abstractNumId w:val="12"/>
  </w:num>
  <w:num w:numId="4">
    <w:abstractNumId w:val="11"/>
  </w:num>
  <w:num w:numId="5">
    <w:abstractNumId w:val="9"/>
  </w:num>
  <w:num w:numId="6">
    <w:abstractNumId w:val="15"/>
  </w:num>
  <w:num w:numId="7">
    <w:abstractNumId w:val="10"/>
  </w:num>
  <w:num w:numId="8">
    <w:abstractNumId w:val="8"/>
  </w:num>
  <w:num w:numId="9">
    <w:abstractNumId w:val="13"/>
  </w:num>
  <w:num w:numId="10">
    <w:abstractNumId w:val="7"/>
  </w:num>
  <w:num w:numId="11">
    <w:abstractNumId w:val="0"/>
  </w:num>
  <w:num w:numId="12">
    <w:abstractNumId w:val="6"/>
  </w:num>
  <w:num w:numId="13">
    <w:abstractNumId w:val="1"/>
  </w:num>
  <w:num w:numId="14">
    <w:abstractNumId w:val="3"/>
  </w:num>
  <w:num w:numId="15">
    <w:abstractNumId w:val="4"/>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5FED"/>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808"/>
    <w:rsid w:val="00016A1C"/>
    <w:rsid w:val="000172BE"/>
    <w:rsid w:val="000179D8"/>
    <w:rsid w:val="00017D8A"/>
    <w:rsid w:val="00017E39"/>
    <w:rsid w:val="0002026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71"/>
    <w:rsid w:val="00034DAD"/>
    <w:rsid w:val="000352B3"/>
    <w:rsid w:val="000359EA"/>
    <w:rsid w:val="00036121"/>
    <w:rsid w:val="000365B6"/>
    <w:rsid w:val="00036CB7"/>
    <w:rsid w:val="00036F2F"/>
    <w:rsid w:val="000373B3"/>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160"/>
    <w:rsid w:val="00044555"/>
    <w:rsid w:val="00044B08"/>
    <w:rsid w:val="00044DF0"/>
    <w:rsid w:val="00045549"/>
    <w:rsid w:val="000459BA"/>
    <w:rsid w:val="00045C8E"/>
    <w:rsid w:val="00045D95"/>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3FD"/>
    <w:rsid w:val="00071525"/>
    <w:rsid w:val="00071943"/>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A5D"/>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0E7E"/>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5F4"/>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CDD"/>
    <w:rsid w:val="000F3D73"/>
    <w:rsid w:val="000F3E2D"/>
    <w:rsid w:val="000F41EF"/>
    <w:rsid w:val="000F44E3"/>
    <w:rsid w:val="000F4F82"/>
    <w:rsid w:val="000F522C"/>
    <w:rsid w:val="000F535B"/>
    <w:rsid w:val="000F5D78"/>
    <w:rsid w:val="000F5E0B"/>
    <w:rsid w:val="000F5FEA"/>
    <w:rsid w:val="000F63BF"/>
    <w:rsid w:val="000F6526"/>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833"/>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1FC"/>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697"/>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113"/>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323"/>
    <w:rsid w:val="00182539"/>
    <w:rsid w:val="00182771"/>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2EF0"/>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8B8"/>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0D"/>
    <w:rsid w:val="001D1155"/>
    <w:rsid w:val="001D1425"/>
    <w:rsid w:val="001D1D76"/>
    <w:rsid w:val="001D2157"/>
    <w:rsid w:val="001D2360"/>
    <w:rsid w:val="001D25C3"/>
    <w:rsid w:val="001D269A"/>
    <w:rsid w:val="001D26F4"/>
    <w:rsid w:val="001D2A73"/>
    <w:rsid w:val="001D30B8"/>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3F"/>
    <w:rsid w:val="001E557A"/>
    <w:rsid w:val="001E56B1"/>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2FB"/>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7B3"/>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48A"/>
    <w:rsid w:val="00220891"/>
    <w:rsid w:val="00220894"/>
    <w:rsid w:val="00220BE6"/>
    <w:rsid w:val="00220C89"/>
    <w:rsid w:val="0022134B"/>
    <w:rsid w:val="002216C9"/>
    <w:rsid w:val="00221D96"/>
    <w:rsid w:val="00221DE9"/>
    <w:rsid w:val="00222173"/>
    <w:rsid w:val="00222CA9"/>
    <w:rsid w:val="00222DB9"/>
    <w:rsid w:val="002235B3"/>
    <w:rsid w:val="00223D16"/>
    <w:rsid w:val="00223F67"/>
    <w:rsid w:val="00224952"/>
    <w:rsid w:val="00224C8B"/>
    <w:rsid w:val="00224DD2"/>
    <w:rsid w:val="0022510B"/>
    <w:rsid w:val="0022524D"/>
    <w:rsid w:val="00225255"/>
    <w:rsid w:val="002257FD"/>
    <w:rsid w:val="00225A59"/>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012"/>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28"/>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039"/>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D3C"/>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41"/>
    <w:rsid w:val="00275EFE"/>
    <w:rsid w:val="00276166"/>
    <w:rsid w:val="00276462"/>
    <w:rsid w:val="00276897"/>
    <w:rsid w:val="0027689C"/>
    <w:rsid w:val="00276A35"/>
    <w:rsid w:val="00276A8C"/>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67D"/>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5D0"/>
    <w:rsid w:val="00291754"/>
    <w:rsid w:val="00291AE7"/>
    <w:rsid w:val="00291E17"/>
    <w:rsid w:val="0029237F"/>
    <w:rsid w:val="00292715"/>
    <w:rsid w:val="00292899"/>
    <w:rsid w:val="00292B29"/>
    <w:rsid w:val="00292BF6"/>
    <w:rsid w:val="002934F4"/>
    <w:rsid w:val="002938E3"/>
    <w:rsid w:val="00293D83"/>
    <w:rsid w:val="00293E57"/>
    <w:rsid w:val="00294092"/>
    <w:rsid w:val="0029412B"/>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6EE5"/>
    <w:rsid w:val="002C72B2"/>
    <w:rsid w:val="002C73D3"/>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602"/>
    <w:rsid w:val="002E07C4"/>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4D4"/>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6E2"/>
    <w:rsid w:val="002F3832"/>
    <w:rsid w:val="002F3CDE"/>
    <w:rsid w:val="002F3E13"/>
    <w:rsid w:val="002F43E7"/>
    <w:rsid w:val="002F4794"/>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44A"/>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597"/>
    <w:rsid w:val="003178DA"/>
    <w:rsid w:val="00317966"/>
    <w:rsid w:val="00317A11"/>
    <w:rsid w:val="00317C91"/>
    <w:rsid w:val="00317DB8"/>
    <w:rsid w:val="00317E99"/>
    <w:rsid w:val="00317F51"/>
    <w:rsid w:val="00317FF3"/>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C4C"/>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BC8"/>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316"/>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81"/>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2B4"/>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4DC"/>
    <w:rsid w:val="00372601"/>
    <w:rsid w:val="0037295B"/>
    <w:rsid w:val="00372ACA"/>
    <w:rsid w:val="00372CF0"/>
    <w:rsid w:val="00372DD5"/>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877"/>
    <w:rsid w:val="00377A96"/>
    <w:rsid w:val="00377B5C"/>
    <w:rsid w:val="00377C81"/>
    <w:rsid w:val="003802DC"/>
    <w:rsid w:val="0038095E"/>
    <w:rsid w:val="00380AED"/>
    <w:rsid w:val="00380DD7"/>
    <w:rsid w:val="00380E4E"/>
    <w:rsid w:val="00380FBF"/>
    <w:rsid w:val="003812F9"/>
    <w:rsid w:val="003814DB"/>
    <w:rsid w:val="003815D1"/>
    <w:rsid w:val="00382404"/>
    <w:rsid w:val="003825A9"/>
    <w:rsid w:val="00382913"/>
    <w:rsid w:val="00382A43"/>
    <w:rsid w:val="00382B1C"/>
    <w:rsid w:val="00382BE2"/>
    <w:rsid w:val="00382D60"/>
    <w:rsid w:val="00382F29"/>
    <w:rsid w:val="00383433"/>
    <w:rsid w:val="00383808"/>
    <w:rsid w:val="0038396C"/>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2A2"/>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4B6"/>
    <w:rsid w:val="003E0587"/>
    <w:rsid w:val="003E07AE"/>
    <w:rsid w:val="003E0978"/>
    <w:rsid w:val="003E14FC"/>
    <w:rsid w:val="003E1584"/>
    <w:rsid w:val="003E1B7F"/>
    <w:rsid w:val="003E1CEB"/>
    <w:rsid w:val="003E2685"/>
    <w:rsid w:val="003E292E"/>
    <w:rsid w:val="003E2976"/>
    <w:rsid w:val="003E2A1A"/>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7F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4A5"/>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1B"/>
    <w:rsid w:val="004440D0"/>
    <w:rsid w:val="00444A5B"/>
    <w:rsid w:val="00444C22"/>
    <w:rsid w:val="00445119"/>
    <w:rsid w:val="004454A9"/>
    <w:rsid w:val="00445610"/>
    <w:rsid w:val="004456AA"/>
    <w:rsid w:val="004457BA"/>
    <w:rsid w:val="004457C0"/>
    <w:rsid w:val="00445DAF"/>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4F9"/>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2FC"/>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261"/>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9C"/>
    <w:rsid w:val="004861E1"/>
    <w:rsid w:val="00486575"/>
    <w:rsid w:val="004866D0"/>
    <w:rsid w:val="00486CB4"/>
    <w:rsid w:val="00486CC8"/>
    <w:rsid w:val="00490999"/>
    <w:rsid w:val="00490D12"/>
    <w:rsid w:val="00490F46"/>
    <w:rsid w:val="00491082"/>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509"/>
    <w:rsid w:val="00493A74"/>
    <w:rsid w:val="00493EAC"/>
    <w:rsid w:val="00493EC2"/>
    <w:rsid w:val="00494242"/>
    <w:rsid w:val="0049481B"/>
    <w:rsid w:val="0049486B"/>
    <w:rsid w:val="004948C6"/>
    <w:rsid w:val="00494907"/>
    <w:rsid w:val="00494A0A"/>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42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5D9"/>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1AC"/>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6D"/>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57"/>
    <w:rsid w:val="00504EC9"/>
    <w:rsid w:val="00505134"/>
    <w:rsid w:val="00505AFE"/>
    <w:rsid w:val="00505B27"/>
    <w:rsid w:val="00505C04"/>
    <w:rsid w:val="0050650E"/>
    <w:rsid w:val="00506915"/>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0D06"/>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8E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554"/>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BA1"/>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AC9"/>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A8C"/>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04C"/>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549"/>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4F85"/>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6FDA"/>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33"/>
    <w:rsid w:val="006549A1"/>
    <w:rsid w:val="00654B38"/>
    <w:rsid w:val="00654B83"/>
    <w:rsid w:val="00655061"/>
    <w:rsid w:val="006550BF"/>
    <w:rsid w:val="0065510C"/>
    <w:rsid w:val="00655ABD"/>
    <w:rsid w:val="00655B63"/>
    <w:rsid w:val="00655C68"/>
    <w:rsid w:val="00656615"/>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18"/>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B68"/>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2B"/>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65E"/>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3AF"/>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5477"/>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8B"/>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69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BB2"/>
    <w:rsid w:val="00712C42"/>
    <w:rsid w:val="00712D48"/>
    <w:rsid w:val="0071301D"/>
    <w:rsid w:val="007130C0"/>
    <w:rsid w:val="0071320E"/>
    <w:rsid w:val="007133FE"/>
    <w:rsid w:val="00713736"/>
    <w:rsid w:val="0071373D"/>
    <w:rsid w:val="007138CD"/>
    <w:rsid w:val="00713DE4"/>
    <w:rsid w:val="00714313"/>
    <w:rsid w:val="00714A76"/>
    <w:rsid w:val="00714C47"/>
    <w:rsid w:val="0071507C"/>
    <w:rsid w:val="007152C1"/>
    <w:rsid w:val="007153D7"/>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1E4"/>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1ED1"/>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8DF"/>
    <w:rsid w:val="007509F0"/>
    <w:rsid w:val="00751091"/>
    <w:rsid w:val="0075124A"/>
    <w:rsid w:val="007514B2"/>
    <w:rsid w:val="0075161C"/>
    <w:rsid w:val="007519E2"/>
    <w:rsid w:val="00751B2A"/>
    <w:rsid w:val="00751B83"/>
    <w:rsid w:val="00751BFA"/>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695"/>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5FE"/>
    <w:rsid w:val="00770704"/>
    <w:rsid w:val="00771288"/>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A07"/>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6F15"/>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568"/>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4DE"/>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97EB9"/>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18F"/>
    <w:rsid w:val="007F6486"/>
    <w:rsid w:val="007F648A"/>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A6"/>
    <w:rsid w:val="008028B0"/>
    <w:rsid w:val="008028D7"/>
    <w:rsid w:val="00802A8A"/>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9C3"/>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18"/>
    <w:rsid w:val="008169B1"/>
    <w:rsid w:val="00816C92"/>
    <w:rsid w:val="00817165"/>
    <w:rsid w:val="0081723D"/>
    <w:rsid w:val="00817263"/>
    <w:rsid w:val="008172BE"/>
    <w:rsid w:val="0081745A"/>
    <w:rsid w:val="00817733"/>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8C0"/>
    <w:rsid w:val="00826A11"/>
    <w:rsid w:val="00827005"/>
    <w:rsid w:val="008274BF"/>
    <w:rsid w:val="00827AFC"/>
    <w:rsid w:val="00827F7A"/>
    <w:rsid w:val="0083015A"/>
    <w:rsid w:val="008302F9"/>
    <w:rsid w:val="008308E1"/>
    <w:rsid w:val="0083098F"/>
    <w:rsid w:val="008309E5"/>
    <w:rsid w:val="00830BBB"/>
    <w:rsid w:val="00830DC3"/>
    <w:rsid w:val="00830E13"/>
    <w:rsid w:val="00831198"/>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504"/>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5C"/>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6D36"/>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271"/>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88E"/>
    <w:rsid w:val="008959A4"/>
    <w:rsid w:val="00895B8A"/>
    <w:rsid w:val="008962E4"/>
    <w:rsid w:val="008962FA"/>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7C7"/>
    <w:rsid w:val="008B4823"/>
    <w:rsid w:val="008B5099"/>
    <w:rsid w:val="008B50E7"/>
    <w:rsid w:val="008B5299"/>
    <w:rsid w:val="008B52C0"/>
    <w:rsid w:val="008B55F3"/>
    <w:rsid w:val="008B5A5F"/>
    <w:rsid w:val="008B5AB0"/>
    <w:rsid w:val="008B5AFB"/>
    <w:rsid w:val="008B5BB7"/>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0D0F"/>
    <w:rsid w:val="00900D1D"/>
    <w:rsid w:val="0090116C"/>
    <w:rsid w:val="009013AD"/>
    <w:rsid w:val="00901BF9"/>
    <w:rsid w:val="00901D69"/>
    <w:rsid w:val="00901DDB"/>
    <w:rsid w:val="00902179"/>
    <w:rsid w:val="0090257E"/>
    <w:rsid w:val="00902AC8"/>
    <w:rsid w:val="00902B96"/>
    <w:rsid w:val="00903495"/>
    <w:rsid w:val="009035EA"/>
    <w:rsid w:val="00903802"/>
    <w:rsid w:val="00903D22"/>
    <w:rsid w:val="00903F53"/>
    <w:rsid w:val="00903F62"/>
    <w:rsid w:val="00904271"/>
    <w:rsid w:val="009046E4"/>
    <w:rsid w:val="00904938"/>
    <w:rsid w:val="00904D52"/>
    <w:rsid w:val="00904E5F"/>
    <w:rsid w:val="0090528E"/>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24A"/>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604"/>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C9F"/>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5F1B"/>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B27"/>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05B"/>
    <w:rsid w:val="009821C0"/>
    <w:rsid w:val="009826C8"/>
    <w:rsid w:val="009829E3"/>
    <w:rsid w:val="00982D20"/>
    <w:rsid w:val="00983117"/>
    <w:rsid w:val="0098323C"/>
    <w:rsid w:val="009835BD"/>
    <w:rsid w:val="00983612"/>
    <w:rsid w:val="009836E4"/>
    <w:rsid w:val="0098380C"/>
    <w:rsid w:val="009838D0"/>
    <w:rsid w:val="00983D9A"/>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622"/>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1F"/>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3D2"/>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DB7"/>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5E0"/>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3BB"/>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2F4"/>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9A"/>
    <w:rsid w:val="00A333C1"/>
    <w:rsid w:val="00A335AB"/>
    <w:rsid w:val="00A3360A"/>
    <w:rsid w:val="00A33696"/>
    <w:rsid w:val="00A33FC1"/>
    <w:rsid w:val="00A34041"/>
    <w:rsid w:val="00A3432B"/>
    <w:rsid w:val="00A3466B"/>
    <w:rsid w:val="00A346BA"/>
    <w:rsid w:val="00A34BD1"/>
    <w:rsid w:val="00A34C67"/>
    <w:rsid w:val="00A34D62"/>
    <w:rsid w:val="00A350B6"/>
    <w:rsid w:val="00A35552"/>
    <w:rsid w:val="00A35689"/>
    <w:rsid w:val="00A3588E"/>
    <w:rsid w:val="00A3596F"/>
    <w:rsid w:val="00A35992"/>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90E"/>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B21"/>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3F0"/>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0FCE"/>
    <w:rsid w:val="00A91048"/>
    <w:rsid w:val="00A9195D"/>
    <w:rsid w:val="00A91B14"/>
    <w:rsid w:val="00A91C02"/>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64"/>
    <w:rsid w:val="00A94BCF"/>
    <w:rsid w:val="00A94BD5"/>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342"/>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494"/>
    <w:rsid w:val="00AB66C6"/>
    <w:rsid w:val="00AB67B4"/>
    <w:rsid w:val="00AB692A"/>
    <w:rsid w:val="00AB7053"/>
    <w:rsid w:val="00AB725F"/>
    <w:rsid w:val="00AB7C69"/>
    <w:rsid w:val="00AC01C9"/>
    <w:rsid w:val="00AC03D9"/>
    <w:rsid w:val="00AC0481"/>
    <w:rsid w:val="00AC05E5"/>
    <w:rsid w:val="00AC0705"/>
    <w:rsid w:val="00AC092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2BA6"/>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0A8"/>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0D3B"/>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29B"/>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4EF"/>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1F8"/>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D72"/>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7E2"/>
    <w:rsid w:val="00B5681C"/>
    <w:rsid w:val="00B56CFC"/>
    <w:rsid w:val="00B57537"/>
    <w:rsid w:val="00B57589"/>
    <w:rsid w:val="00B57777"/>
    <w:rsid w:val="00B57A17"/>
    <w:rsid w:val="00B57B2A"/>
    <w:rsid w:val="00B57EB6"/>
    <w:rsid w:val="00B60424"/>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873"/>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12"/>
    <w:rsid w:val="00B759E8"/>
    <w:rsid w:val="00B75CEB"/>
    <w:rsid w:val="00B75F8E"/>
    <w:rsid w:val="00B7604C"/>
    <w:rsid w:val="00B7622C"/>
    <w:rsid w:val="00B76463"/>
    <w:rsid w:val="00B7652C"/>
    <w:rsid w:val="00B766BF"/>
    <w:rsid w:val="00B76936"/>
    <w:rsid w:val="00B769A3"/>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645"/>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54"/>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44"/>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AFE"/>
    <w:rsid w:val="00BC4DAC"/>
    <w:rsid w:val="00BC563F"/>
    <w:rsid w:val="00BC56FA"/>
    <w:rsid w:val="00BC57D0"/>
    <w:rsid w:val="00BC5D90"/>
    <w:rsid w:val="00BC6B13"/>
    <w:rsid w:val="00BC6B4A"/>
    <w:rsid w:val="00BC6FD6"/>
    <w:rsid w:val="00BC73B2"/>
    <w:rsid w:val="00BC7494"/>
    <w:rsid w:val="00BC74CC"/>
    <w:rsid w:val="00BC75C3"/>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48"/>
    <w:rsid w:val="00BE7F6A"/>
    <w:rsid w:val="00BF0274"/>
    <w:rsid w:val="00BF037D"/>
    <w:rsid w:val="00BF04DF"/>
    <w:rsid w:val="00BF06B5"/>
    <w:rsid w:val="00BF08C4"/>
    <w:rsid w:val="00BF0998"/>
    <w:rsid w:val="00BF0BAF"/>
    <w:rsid w:val="00BF0BE3"/>
    <w:rsid w:val="00BF176C"/>
    <w:rsid w:val="00BF180D"/>
    <w:rsid w:val="00BF18DE"/>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4FC0"/>
    <w:rsid w:val="00BF5547"/>
    <w:rsid w:val="00BF5552"/>
    <w:rsid w:val="00BF5EDF"/>
    <w:rsid w:val="00BF6207"/>
    <w:rsid w:val="00BF67CD"/>
    <w:rsid w:val="00BF6A20"/>
    <w:rsid w:val="00BF7304"/>
    <w:rsid w:val="00BF7325"/>
    <w:rsid w:val="00BF73F2"/>
    <w:rsid w:val="00BF746E"/>
    <w:rsid w:val="00C005B6"/>
    <w:rsid w:val="00C00957"/>
    <w:rsid w:val="00C00ADF"/>
    <w:rsid w:val="00C00C34"/>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073"/>
    <w:rsid w:val="00C14178"/>
    <w:rsid w:val="00C14632"/>
    <w:rsid w:val="00C1495E"/>
    <w:rsid w:val="00C15F40"/>
    <w:rsid w:val="00C160C3"/>
    <w:rsid w:val="00C16475"/>
    <w:rsid w:val="00C169D5"/>
    <w:rsid w:val="00C16C30"/>
    <w:rsid w:val="00C16E29"/>
    <w:rsid w:val="00C16EB7"/>
    <w:rsid w:val="00C171F2"/>
    <w:rsid w:val="00C171F9"/>
    <w:rsid w:val="00C17389"/>
    <w:rsid w:val="00C173BA"/>
    <w:rsid w:val="00C17BEF"/>
    <w:rsid w:val="00C202AE"/>
    <w:rsid w:val="00C20588"/>
    <w:rsid w:val="00C20A00"/>
    <w:rsid w:val="00C21036"/>
    <w:rsid w:val="00C2145A"/>
    <w:rsid w:val="00C21673"/>
    <w:rsid w:val="00C2178A"/>
    <w:rsid w:val="00C21A22"/>
    <w:rsid w:val="00C21C7A"/>
    <w:rsid w:val="00C22041"/>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78"/>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099"/>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36"/>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77D"/>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566B"/>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4F59"/>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E20"/>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0BAD"/>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5F28"/>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081"/>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37F"/>
    <w:rsid w:val="00D175BE"/>
    <w:rsid w:val="00D17B76"/>
    <w:rsid w:val="00D17C3E"/>
    <w:rsid w:val="00D17F4C"/>
    <w:rsid w:val="00D201BE"/>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805"/>
    <w:rsid w:val="00D23FFE"/>
    <w:rsid w:val="00D24064"/>
    <w:rsid w:val="00D246A3"/>
    <w:rsid w:val="00D246DB"/>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1F1F"/>
    <w:rsid w:val="00D32169"/>
    <w:rsid w:val="00D321ED"/>
    <w:rsid w:val="00D3271E"/>
    <w:rsid w:val="00D329B9"/>
    <w:rsid w:val="00D32FE2"/>
    <w:rsid w:val="00D3313E"/>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67A"/>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AA5"/>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2C59"/>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C34"/>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2E60"/>
    <w:rsid w:val="00DB3153"/>
    <w:rsid w:val="00DB317A"/>
    <w:rsid w:val="00DB3B82"/>
    <w:rsid w:val="00DB3EF7"/>
    <w:rsid w:val="00DB4172"/>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D46"/>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D796A"/>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6D12"/>
    <w:rsid w:val="00DE750E"/>
    <w:rsid w:val="00DE7645"/>
    <w:rsid w:val="00DE7C00"/>
    <w:rsid w:val="00DE7E77"/>
    <w:rsid w:val="00DF00C6"/>
    <w:rsid w:val="00DF03E9"/>
    <w:rsid w:val="00DF03ED"/>
    <w:rsid w:val="00DF03FC"/>
    <w:rsid w:val="00DF04EE"/>
    <w:rsid w:val="00DF05D3"/>
    <w:rsid w:val="00DF0604"/>
    <w:rsid w:val="00DF0B3A"/>
    <w:rsid w:val="00DF0BF4"/>
    <w:rsid w:val="00DF179D"/>
    <w:rsid w:val="00DF1BA8"/>
    <w:rsid w:val="00DF1BEB"/>
    <w:rsid w:val="00DF1C3C"/>
    <w:rsid w:val="00DF1E9C"/>
    <w:rsid w:val="00DF22BD"/>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38ED"/>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23"/>
    <w:rsid w:val="00E235C5"/>
    <w:rsid w:val="00E23924"/>
    <w:rsid w:val="00E23A11"/>
    <w:rsid w:val="00E23E42"/>
    <w:rsid w:val="00E23FB7"/>
    <w:rsid w:val="00E2414F"/>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4BA"/>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0FA"/>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2E62"/>
    <w:rsid w:val="00E631CF"/>
    <w:rsid w:val="00E6336B"/>
    <w:rsid w:val="00E63604"/>
    <w:rsid w:val="00E63644"/>
    <w:rsid w:val="00E63A68"/>
    <w:rsid w:val="00E63F25"/>
    <w:rsid w:val="00E63F8B"/>
    <w:rsid w:val="00E6416C"/>
    <w:rsid w:val="00E64424"/>
    <w:rsid w:val="00E645D1"/>
    <w:rsid w:val="00E64C99"/>
    <w:rsid w:val="00E64CD3"/>
    <w:rsid w:val="00E65821"/>
    <w:rsid w:val="00E65D22"/>
    <w:rsid w:val="00E66005"/>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4F01"/>
    <w:rsid w:val="00E8519F"/>
    <w:rsid w:val="00E851CB"/>
    <w:rsid w:val="00E85530"/>
    <w:rsid w:val="00E856F4"/>
    <w:rsid w:val="00E85CC3"/>
    <w:rsid w:val="00E85E9A"/>
    <w:rsid w:val="00E85EA1"/>
    <w:rsid w:val="00E862C6"/>
    <w:rsid w:val="00E8644A"/>
    <w:rsid w:val="00E8658A"/>
    <w:rsid w:val="00E866C3"/>
    <w:rsid w:val="00E86B20"/>
    <w:rsid w:val="00E86EC2"/>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8F"/>
    <w:rsid w:val="00E945D3"/>
    <w:rsid w:val="00E94EE3"/>
    <w:rsid w:val="00E95BA6"/>
    <w:rsid w:val="00E962F1"/>
    <w:rsid w:val="00E97016"/>
    <w:rsid w:val="00E97648"/>
    <w:rsid w:val="00E976F3"/>
    <w:rsid w:val="00E97823"/>
    <w:rsid w:val="00E97C13"/>
    <w:rsid w:val="00E97D0D"/>
    <w:rsid w:val="00E97FCD"/>
    <w:rsid w:val="00EA006B"/>
    <w:rsid w:val="00EA066D"/>
    <w:rsid w:val="00EA0E4A"/>
    <w:rsid w:val="00EA0EDB"/>
    <w:rsid w:val="00EA13DD"/>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BC1"/>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B"/>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E7F34"/>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A5B"/>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06D"/>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1FEA"/>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7A"/>
    <w:rsid w:val="00F1529F"/>
    <w:rsid w:val="00F15408"/>
    <w:rsid w:val="00F155CE"/>
    <w:rsid w:val="00F16442"/>
    <w:rsid w:val="00F1735F"/>
    <w:rsid w:val="00F176AB"/>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581D"/>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1C1"/>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990"/>
    <w:rsid w:val="00F54C46"/>
    <w:rsid w:val="00F5500C"/>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A6B"/>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09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4C3"/>
    <w:rsid w:val="00FA56BF"/>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2C"/>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790"/>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4B6F"/>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C7E86"/>
    <w:rsid w:val="00FD015D"/>
    <w:rsid w:val="00FD0286"/>
    <w:rsid w:val="00FD03F1"/>
    <w:rsid w:val="00FD0572"/>
    <w:rsid w:val="00FD0DC8"/>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063"/>
    <w:rsid w:val="00FD5823"/>
    <w:rsid w:val="00FD5C12"/>
    <w:rsid w:val="00FD6059"/>
    <w:rsid w:val="00FD6914"/>
    <w:rsid w:val="00FD76A2"/>
    <w:rsid w:val="00FD77DC"/>
    <w:rsid w:val="00FD78B0"/>
    <w:rsid w:val="00FD7B8E"/>
    <w:rsid w:val="00FD7CDC"/>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5E4"/>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B01933B"/>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12"/>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9659388">
      <w:bodyDiv w:val="1"/>
      <w:marLeft w:val="0"/>
      <w:marRight w:val="0"/>
      <w:marTop w:val="0"/>
      <w:marBottom w:val="0"/>
      <w:divBdr>
        <w:top w:val="none" w:sz="0" w:space="0" w:color="auto"/>
        <w:left w:val="none" w:sz="0" w:space="0" w:color="auto"/>
        <w:bottom w:val="none" w:sz="0" w:space="0" w:color="auto"/>
        <w:right w:val="none" w:sz="0" w:space="0" w:color="auto"/>
      </w:divBdr>
      <w:divsChild>
        <w:div w:id="1784304519">
          <w:marLeft w:val="360"/>
          <w:marRight w:val="0"/>
          <w:marTop w:val="200"/>
          <w:marBottom w:val="0"/>
          <w:divBdr>
            <w:top w:val="none" w:sz="0" w:space="0" w:color="auto"/>
            <w:left w:val="none" w:sz="0" w:space="0" w:color="auto"/>
            <w:bottom w:val="none" w:sz="0" w:space="0" w:color="auto"/>
            <w:right w:val="none" w:sz="0" w:space="0" w:color="auto"/>
          </w:divBdr>
        </w:div>
        <w:div w:id="1519661585">
          <w:marLeft w:val="1080"/>
          <w:marRight w:val="0"/>
          <w:marTop w:val="100"/>
          <w:marBottom w:val="0"/>
          <w:divBdr>
            <w:top w:val="none" w:sz="0" w:space="0" w:color="auto"/>
            <w:left w:val="none" w:sz="0" w:space="0" w:color="auto"/>
            <w:bottom w:val="none" w:sz="0" w:space="0" w:color="auto"/>
            <w:right w:val="none" w:sz="0" w:space="0" w:color="auto"/>
          </w:divBdr>
        </w:div>
        <w:div w:id="1676151338">
          <w:marLeft w:val="108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82315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63104682">
      <w:bodyDiv w:val="1"/>
      <w:marLeft w:val="0"/>
      <w:marRight w:val="0"/>
      <w:marTop w:val="0"/>
      <w:marBottom w:val="0"/>
      <w:divBdr>
        <w:top w:val="none" w:sz="0" w:space="0" w:color="auto"/>
        <w:left w:val="none" w:sz="0" w:space="0" w:color="auto"/>
        <w:bottom w:val="none" w:sz="0" w:space="0" w:color="auto"/>
        <w:right w:val="none" w:sz="0" w:space="0" w:color="auto"/>
      </w:divBdr>
      <w:divsChild>
        <w:div w:id="578909945">
          <w:marLeft w:val="1080"/>
          <w:marRight w:val="0"/>
          <w:marTop w:val="100"/>
          <w:marBottom w:val="0"/>
          <w:divBdr>
            <w:top w:val="none" w:sz="0" w:space="0" w:color="auto"/>
            <w:left w:val="none" w:sz="0" w:space="0" w:color="auto"/>
            <w:bottom w:val="none" w:sz="0" w:space="0" w:color="auto"/>
            <w:right w:val="none" w:sz="0" w:space="0" w:color="auto"/>
          </w:divBdr>
        </w:div>
        <w:div w:id="2046983875">
          <w:marLeft w:val="1080"/>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834105">
      <w:bodyDiv w:val="1"/>
      <w:marLeft w:val="0"/>
      <w:marRight w:val="0"/>
      <w:marTop w:val="0"/>
      <w:marBottom w:val="0"/>
      <w:divBdr>
        <w:top w:val="none" w:sz="0" w:space="0" w:color="auto"/>
        <w:left w:val="none" w:sz="0" w:space="0" w:color="auto"/>
        <w:bottom w:val="none" w:sz="0" w:space="0" w:color="auto"/>
        <w:right w:val="none" w:sz="0" w:space="0" w:color="auto"/>
      </w:divBdr>
    </w:div>
    <w:div w:id="754939347">
      <w:bodyDiv w:val="1"/>
      <w:marLeft w:val="0"/>
      <w:marRight w:val="0"/>
      <w:marTop w:val="0"/>
      <w:marBottom w:val="0"/>
      <w:divBdr>
        <w:top w:val="none" w:sz="0" w:space="0" w:color="auto"/>
        <w:left w:val="none" w:sz="0" w:space="0" w:color="auto"/>
        <w:bottom w:val="none" w:sz="0" w:space="0" w:color="auto"/>
        <w:right w:val="none" w:sz="0" w:space="0" w:color="auto"/>
      </w:divBdr>
      <w:divsChild>
        <w:div w:id="1875995656">
          <w:marLeft w:val="806"/>
          <w:marRight w:val="0"/>
          <w:marTop w:val="200"/>
          <w:marBottom w:val="0"/>
          <w:divBdr>
            <w:top w:val="none" w:sz="0" w:space="0" w:color="auto"/>
            <w:left w:val="none" w:sz="0" w:space="0" w:color="auto"/>
            <w:bottom w:val="none" w:sz="0" w:space="0" w:color="auto"/>
            <w:right w:val="none" w:sz="0" w:space="0" w:color="auto"/>
          </w:divBdr>
        </w:div>
        <w:div w:id="1251348625">
          <w:marLeft w:val="806"/>
          <w:marRight w:val="0"/>
          <w:marTop w:val="200"/>
          <w:marBottom w:val="0"/>
          <w:divBdr>
            <w:top w:val="none" w:sz="0" w:space="0" w:color="auto"/>
            <w:left w:val="none" w:sz="0" w:space="0" w:color="auto"/>
            <w:bottom w:val="none" w:sz="0" w:space="0" w:color="auto"/>
            <w:right w:val="none" w:sz="0" w:space="0" w:color="auto"/>
          </w:divBdr>
        </w:div>
        <w:div w:id="794298964">
          <w:marLeft w:val="1440"/>
          <w:marRight w:val="0"/>
          <w:marTop w:val="100"/>
          <w:marBottom w:val="0"/>
          <w:divBdr>
            <w:top w:val="none" w:sz="0" w:space="0" w:color="auto"/>
            <w:left w:val="none" w:sz="0" w:space="0" w:color="auto"/>
            <w:bottom w:val="none" w:sz="0" w:space="0" w:color="auto"/>
            <w:right w:val="none" w:sz="0" w:space="0" w:color="auto"/>
          </w:divBdr>
        </w:div>
        <w:div w:id="1166021737">
          <w:marLeft w:val="1440"/>
          <w:marRight w:val="0"/>
          <w:marTop w:val="100"/>
          <w:marBottom w:val="0"/>
          <w:divBdr>
            <w:top w:val="none" w:sz="0" w:space="0" w:color="auto"/>
            <w:left w:val="none" w:sz="0" w:space="0" w:color="auto"/>
            <w:bottom w:val="none" w:sz="0" w:space="0" w:color="auto"/>
            <w:right w:val="none" w:sz="0" w:space="0" w:color="auto"/>
          </w:divBdr>
        </w:div>
        <w:div w:id="2032488386">
          <w:marLeft w:val="1440"/>
          <w:marRight w:val="0"/>
          <w:marTop w:val="100"/>
          <w:marBottom w:val="0"/>
          <w:divBdr>
            <w:top w:val="none" w:sz="0" w:space="0" w:color="auto"/>
            <w:left w:val="none" w:sz="0" w:space="0" w:color="auto"/>
            <w:bottom w:val="none" w:sz="0" w:space="0" w:color="auto"/>
            <w:right w:val="none" w:sz="0" w:space="0" w:color="auto"/>
          </w:divBdr>
        </w:div>
        <w:div w:id="1991060226">
          <w:marLeft w:val="1800"/>
          <w:marRight w:val="0"/>
          <w:marTop w:val="100"/>
          <w:marBottom w:val="0"/>
          <w:divBdr>
            <w:top w:val="none" w:sz="0" w:space="0" w:color="auto"/>
            <w:left w:val="none" w:sz="0" w:space="0" w:color="auto"/>
            <w:bottom w:val="none" w:sz="0" w:space="0" w:color="auto"/>
            <w:right w:val="none" w:sz="0" w:space="0" w:color="auto"/>
          </w:divBdr>
        </w:div>
        <w:div w:id="263341559">
          <w:marLeft w:val="1800"/>
          <w:marRight w:val="0"/>
          <w:marTop w:val="100"/>
          <w:marBottom w:val="0"/>
          <w:divBdr>
            <w:top w:val="none" w:sz="0" w:space="0" w:color="auto"/>
            <w:left w:val="none" w:sz="0" w:space="0" w:color="auto"/>
            <w:bottom w:val="none" w:sz="0" w:space="0" w:color="auto"/>
            <w:right w:val="none" w:sz="0" w:space="0" w:color="auto"/>
          </w:divBdr>
        </w:div>
        <w:div w:id="1858932801">
          <w:marLeft w:val="1440"/>
          <w:marRight w:val="0"/>
          <w:marTop w:val="100"/>
          <w:marBottom w:val="0"/>
          <w:divBdr>
            <w:top w:val="none" w:sz="0" w:space="0" w:color="auto"/>
            <w:left w:val="none" w:sz="0" w:space="0" w:color="auto"/>
            <w:bottom w:val="none" w:sz="0" w:space="0" w:color="auto"/>
            <w:right w:val="none" w:sz="0" w:space="0" w:color="auto"/>
          </w:divBdr>
        </w:div>
        <w:div w:id="1301037690">
          <w:marLeft w:val="1440"/>
          <w:marRight w:val="0"/>
          <w:marTop w:val="100"/>
          <w:marBottom w:val="0"/>
          <w:divBdr>
            <w:top w:val="none" w:sz="0" w:space="0" w:color="auto"/>
            <w:left w:val="none" w:sz="0" w:space="0" w:color="auto"/>
            <w:bottom w:val="none" w:sz="0" w:space="0" w:color="auto"/>
            <w:right w:val="none" w:sz="0" w:space="0" w:color="auto"/>
          </w:divBdr>
        </w:div>
        <w:div w:id="1984846853">
          <w:marLeft w:val="1440"/>
          <w:marRight w:val="0"/>
          <w:marTop w:val="100"/>
          <w:marBottom w:val="0"/>
          <w:divBdr>
            <w:top w:val="none" w:sz="0" w:space="0" w:color="auto"/>
            <w:left w:val="none" w:sz="0" w:space="0" w:color="auto"/>
            <w:bottom w:val="none" w:sz="0" w:space="0" w:color="auto"/>
            <w:right w:val="none" w:sz="0" w:space="0" w:color="auto"/>
          </w:divBdr>
        </w:div>
        <w:div w:id="1728533262">
          <w:marLeft w:val="806"/>
          <w:marRight w:val="0"/>
          <w:marTop w:val="200"/>
          <w:marBottom w:val="0"/>
          <w:divBdr>
            <w:top w:val="none" w:sz="0" w:space="0" w:color="auto"/>
            <w:left w:val="none" w:sz="0" w:space="0" w:color="auto"/>
            <w:bottom w:val="none" w:sz="0" w:space="0" w:color="auto"/>
            <w:right w:val="none" w:sz="0" w:space="0" w:color="auto"/>
          </w:divBdr>
        </w:div>
        <w:div w:id="96293421">
          <w:marLeft w:val="720"/>
          <w:marRight w:val="0"/>
          <w:marTop w:val="200"/>
          <w:marBottom w:val="0"/>
          <w:divBdr>
            <w:top w:val="none" w:sz="0" w:space="0" w:color="auto"/>
            <w:left w:val="none" w:sz="0" w:space="0" w:color="auto"/>
            <w:bottom w:val="none" w:sz="0" w:space="0" w:color="auto"/>
            <w:right w:val="none" w:sz="0" w:space="0" w:color="auto"/>
          </w:divBdr>
        </w:div>
      </w:divsChild>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16287639">
      <w:bodyDiv w:val="1"/>
      <w:marLeft w:val="0"/>
      <w:marRight w:val="0"/>
      <w:marTop w:val="0"/>
      <w:marBottom w:val="0"/>
      <w:divBdr>
        <w:top w:val="none" w:sz="0" w:space="0" w:color="auto"/>
        <w:left w:val="none" w:sz="0" w:space="0" w:color="auto"/>
        <w:bottom w:val="none" w:sz="0" w:space="0" w:color="auto"/>
        <w:right w:val="none" w:sz="0" w:space="0" w:color="auto"/>
      </w:divBdr>
      <w:divsChild>
        <w:div w:id="564726042">
          <w:marLeft w:val="1080"/>
          <w:marRight w:val="0"/>
          <w:marTop w:val="100"/>
          <w:marBottom w:val="0"/>
          <w:divBdr>
            <w:top w:val="none" w:sz="0" w:space="0" w:color="auto"/>
            <w:left w:val="none" w:sz="0" w:space="0" w:color="auto"/>
            <w:bottom w:val="none" w:sz="0" w:space="0" w:color="auto"/>
            <w:right w:val="none" w:sz="0" w:space="0" w:color="auto"/>
          </w:divBdr>
        </w:div>
        <w:div w:id="962417477">
          <w:marLeft w:val="1800"/>
          <w:marRight w:val="0"/>
          <w:marTop w:val="100"/>
          <w:marBottom w:val="0"/>
          <w:divBdr>
            <w:top w:val="none" w:sz="0" w:space="0" w:color="auto"/>
            <w:left w:val="none" w:sz="0" w:space="0" w:color="auto"/>
            <w:bottom w:val="none" w:sz="0" w:space="0" w:color="auto"/>
            <w:right w:val="none" w:sz="0" w:space="0" w:color="auto"/>
          </w:divBdr>
        </w:div>
        <w:div w:id="281495558">
          <w:marLeft w:val="180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4821755">
      <w:bodyDiv w:val="1"/>
      <w:marLeft w:val="0"/>
      <w:marRight w:val="0"/>
      <w:marTop w:val="0"/>
      <w:marBottom w:val="0"/>
      <w:divBdr>
        <w:top w:val="none" w:sz="0" w:space="0" w:color="auto"/>
        <w:left w:val="none" w:sz="0" w:space="0" w:color="auto"/>
        <w:bottom w:val="none" w:sz="0" w:space="0" w:color="auto"/>
        <w:right w:val="none" w:sz="0" w:space="0" w:color="auto"/>
      </w:divBdr>
      <w:divsChild>
        <w:div w:id="1164590419">
          <w:marLeft w:val="360"/>
          <w:marRight w:val="0"/>
          <w:marTop w:val="2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058750005">
      <w:bodyDiv w:val="1"/>
      <w:marLeft w:val="0"/>
      <w:marRight w:val="0"/>
      <w:marTop w:val="0"/>
      <w:marBottom w:val="0"/>
      <w:divBdr>
        <w:top w:val="none" w:sz="0" w:space="0" w:color="auto"/>
        <w:left w:val="none" w:sz="0" w:space="0" w:color="auto"/>
        <w:bottom w:val="none" w:sz="0" w:space="0" w:color="auto"/>
        <w:right w:val="none" w:sz="0" w:space="0" w:color="auto"/>
      </w:divBdr>
      <w:divsChild>
        <w:div w:id="854346543">
          <w:marLeft w:val="1800"/>
          <w:marRight w:val="0"/>
          <w:marTop w:val="100"/>
          <w:marBottom w:val="0"/>
          <w:divBdr>
            <w:top w:val="none" w:sz="0" w:space="0" w:color="auto"/>
            <w:left w:val="none" w:sz="0" w:space="0" w:color="auto"/>
            <w:bottom w:val="none" w:sz="0" w:space="0" w:color="auto"/>
            <w:right w:val="none" w:sz="0" w:space="0" w:color="auto"/>
          </w:divBdr>
        </w:div>
        <w:div w:id="1103917607">
          <w:marLeft w:val="2520"/>
          <w:marRight w:val="0"/>
          <w:marTop w:val="100"/>
          <w:marBottom w:val="0"/>
          <w:divBdr>
            <w:top w:val="none" w:sz="0" w:space="0" w:color="auto"/>
            <w:left w:val="none" w:sz="0" w:space="0" w:color="auto"/>
            <w:bottom w:val="none" w:sz="0" w:space="0" w:color="auto"/>
            <w:right w:val="none" w:sz="0" w:space="0" w:color="auto"/>
          </w:divBdr>
        </w:div>
        <w:div w:id="967399652">
          <w:marLeft w:val="2520"/>
          <w:marRight w:val="0"/>
          <w:marTop w:val="100"/>
          <w:marBottom w:val="0"/>
          <w:divBdr>
            <w:top w:val="none" w:sz="0" w:space="0" w:color="auto"/>
            <w:left w:val="none" w:sz="0" w:space="0" w:color="auto"/>
            <w:bottom w:val="none" w:sz="0" w:space="0" w:color="auto"/>
            <w:right w:val="none" w:sz="0" w:space="0" w:color="auto"/>
          </w:divBdr>
        </w:div>
      </w:divsChild>
    </w:div>
    <w:div w:id="109100322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1697458">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4269731">
      <w:bodyDiv w:val="1"/>
      <w:marLeft w:val="0"/>
      <w:marRight w:val="0"/>
      <w:marTop w:val="0"/>
      <w:marBottom w:val="0"/>
      <w:divBdr>
        <w:top w:val="none" w:sz="0" w:space="0" w:color="auto"/>
        <w:left w:val="none" w:sz="0" w:space="0" w:color="auto"/>
        <w:bottom w:val="none" w:sz="0" w:space="0" w:color="auto"/>
        <w:right w:val="none" w:sz="0" w:space="0" w:color="auto"/>
      </w:divBdr>
      <w:divsChild>
        <w:div w:id="394817445">
          <w:marLeft w:val="108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41854213">
      <w:bodyDiv w:val="1"/>
      <w:marLeft w:val="0"/>
      <w:marRight w:val="0"/>
      <w:marTop w:val="0"/>
      <w:marBottom w:val="0"/>
      <w:divBdr>
        <w:top w:val="none" w:sz="0" w:space="0" w:color="auto"/>
        <w:left w:val="none" w:sz="0" w:space="0" w:color="auto"/>
        <w:bottom w:val="none" w:sz="0" w:space="0" w:color="auto"/>
        <w:right w:val="none" w:sz="0" w:space="0" w:color="auto"/>
      </w:divBdr>
      <w:divsChild>
        <w:div w:id="1954164898">
          <w:marLeft w:val="1080"/>
          <w:marRight w:val="0"/>
          <w:marTop w:val="100"/>
          <w:marBottom w:val="0"/>
          <w:divBdr>
            <w:top w:val="none" w:sz="0" w:space="0" w:color="auto"/>
            <w:left w:val="none" w:sz="0" w:space="0" w:color="auto"/>
            <w:bottom w:val="none" w:sz="0" w:space="0" w:color="auto"/>
            <w:right w:val="none" w:sz="0" w:space="0" w:color="auto"/>
          </w:divBdr>
        </w:div>
      </w:divsChild>
    </w:div>
    <w:div w:id="1389457585">
      <w:bodyDiv w:val="1"/>
      <w:marLeft w:val="0"/>
      <w:marRight w:val="0"/>
      <w:marTop w:val="0"/>
      <w:marBottom w:val="0"/>
      <w:divBdr>
        <w:top w:val="none" w:sz="0" w:space="0" w:color="auto"/>
        <w:left w:val="none" w:sz="0" w:space="0" w:color="auto"/>
        <w:bottom w:val="none" w:sz="0" w:space="0" w:color="auto"/>
        <w:right w:val="none" w:sz="0" w:space="0" w:color="auto"/>
      </w:divBdr>
      <w:divsChild>
        <w:div w:id="1746493809">
          <w:marLeft w:val="360"/>
          <w:marRight w:val="0"/>
          <w:marTop w:val="2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7365218">
      <w:bodyDiv w:val="1"/>
      <w:marLeft w:val="0"/>
      <w:marRight w:val="0"/>
      <w:marTop w:val="0"/>
      <w:marBottom w:val="0"/>
      <w:divBdr>
        <w:top w:val="none" w:sz="0" w:space="0" w:color="auto"/>
        <w:left w:val="none" w:sz="0" w:space="0" w:color="auto"/>
        <w:bottom w:val="none" w:sz="0" w:space="0" w:color="auto"/>
        <w:right w:val="none" w:sz="0" w:space="0" w:color="auto"/>
      </w:divBdr>
    </w:div>
    <w:div w:id="1515535236">
      <w:bodyDiv w:val="1"/>
      <w:marLeft w:val="0"/>
      <w:marRight w:val="0"/>
      <w:marTop w:val="0"/>
      <w:marBottom w:val="0"/>
      <w:divBdr>
        <w:top w:val="none" w:sz="0" w:space="0" w:color="auto"/>
        <w:left w:val="none" w:sz="0" w:space="0" w:color="auto"/>
        <w:bottom w:val="none" w:sz="0" w:space="0" w:color="auto"/>
        <w:right w:val="none" w:sz="0" w:space="0" w:color="auto"/>
      </w:divBdr>
      <w:divsChild>
        <w:div w:id="1345016761">
          <w:marLeft w:val="1080"/>
          <w:marRight w:val="0"/>
          <w:marTop w:val="100"/>
          <w:marBottom w:val="0"/>
          <w:divBdr>
            <w:top w:val="none" w:sz="0" w:space="0" w:color="auto"/>
            <w:left w:val="none" w:sz="0" w:space="0" w:color="auto"/>
            <w:bottom w:val="none" w:sz="0" w:space="0" w:color="auto"/>
            <w:right w:val="none" w:sz="0" w:space="0" w:color="auto"/>
          </w:divBdr>
        </w:div>
        <w:div w:id="125634269">
          <w:marLeft w:val="108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943418">
      <w:bodyDiv w:val="1"/>
      <w:marLeft w:val="0"/>
      <w:marRight w:val="0"/>
      <w:marTop w:val="0"/>
      <w:marBottom w:val="0"/>
      <w:divBdr>
        <w:top w:val="none" w:sz="0" w:space="0" w:color="auto"/>
        <w:left w:val="none" w:sz="0" w:space="0" w:color="auto"/>
        <w:bottom w:val="none" w:sz="0" w:space="0" w:color="auto"/>
        <w:right w:val="none" w:sz="0" w:space="0" w:color="auto"/>
      </w:divBdr>
      <w:divsChild>
        <w:div w:id="469250394">
          <w:marLeft w:val="1080"/>
          <w:marRight w:val="0"/>
          <w:marTop w:val="100"/>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325291">
      <w:bodyDiv w:val="1"/>
      <w:marLeft w:val="0"/>
      <w:marRight w:val="0"/>
      <w:marTop w:val="0"/>
      <w:marBottom w:val="0"/>
      <w:divBdr>
        <w:top w:val="none" w:sz="0" w:space="0" w:color="auto"/>
        <w:left w:val="none" w:sz="0" w:space="0" w:color="auto"/>
        <w:bottom w:val="none" w:sz="0" w:space="0" w:color="auto"/>
        <w:right w:val="none" w:sz="0" w:space="0" w:color="auto"/>
      </w:divBdr>
      <w:divsChild>
        <w:div w:id="151681528">
          <w:marLeft w:val="806"/>
          <w:marRight w:val="0"/>
          <w:marTop w:val="200"/>
          <w:marBottom w:val="0"/>
          <w:divBdr>
            <w:top w:val="none" w:sz="0" w:space="0" w:color="auto"/>
            <w:left w:val="none" w:sz="0" w:space="0" w:color="auto"/>
            <w:bottom w:val="none" w:sz="0" w:space="0" w:color="auto"/>
            <w:right w:val="none" w:sz="0" w:space="0" w:color="auto"/>
          </w:divBdr>
        </w:div>
        <w:div w:id="1900555823">
          <w:marLeft w:val="806"/>
          <w:marRight w:val="0"/>
          <w:marTop w:val="200"/>
          <w:marBottom w:val="0"/>
          <w:divBdr>
            <w:top w:val="none" w:sz="0" w:space="0" w:color="auto"/>
            <w:left w:val="none" w:sz="0" w:space="0" w:color="auto"/>
            <w:bottom w:val="none" w:sz="0" w:space="0" w:color="auto"/>
            <w:right w:val="none" w:sz="0" w:space="0" w:color="auto"/>
          </w:divBdr>
        </w:div>
        <w:div w:id="1930960947">
          <w:marLeft w:val="1440"/>
          <w:marRight w:val="0"/>
          <w:marTop w:val="100"/>
          <w:marBottom w:val="0"/>
          <w:divBdr>
            <w:top w:val="none" w:sz="0" w:space="0" w:color="auto"/>
            <w:left w:val="none" w:sz="0" w:space="0" w:color="auto"/>
            <w:bottom w:val="none" w:sz="0" w:space="0" w:color="auto"/>
            <w:right w:val="none" w:sz="0" w:space="0" w:color="auto"/>
          </w:divBdr>
        </w:div>
        <w:div w:id="1861551384">
          <w:marLeft w:val="1440"/>
          <w:marRight w:val="0"/>
          <w:marTop w:val="100"/>
          <w:marBottom w:val="0"/>
          <w:divBdr>
            <w:top w:val="none" w:sz="0" w:space="0" w:color="auto"/>
            <w:left w:val="none" w:sz="0" w:space="0" w:color="auto"/>
            <w:bottom w:val="none" w:sz="0" w:space="0" w:color="auto"/>
            <w:right w:val="none" w:sz="0" w:space="0" w:color="auto"/>
          </w:divBdr>
        </w:div>
        <w:div w:id="1433015930">
          <w:marLeft w:val="1440"/>
          <w:marRight w:val="0"/>
          <w:marTop w:val="100"/>
          <w:marBottom w:val="0"/>
          <w:divBdr>
            <w:top w:val="none" w:sz="0" w:space="0" w:color="auto"/>
            <w:left w:val="none" w:sz="0" w:space="0" w:color="auto"/>
            <w:bottom w:val="none" w:sz="0" w:space="0" w:color="auto"/>
            <w:right w:val="none" w:sz="0" w:space="0" w:color="auto"/>
          </w:divBdr>
        </w:div>
        <w:div w:id="125589858">
          <w:marLeft w:val="1800"/>
          <w:marRight w:val="0"/>
          <w:marTop w:val="100"/>
          <w:marBottom w:val="0"/>
          <w:divBdr>
            <w:top w:val="none" w:sz="0" w:space="0" w:color="auto"/>
            <w:left w:val="none" w:sz="0" w:space="0" w:color="auto"/>
            <w:bottom w:val="none" w:sz="0" w:space="0" w:color="auto"/>
            <w:right w:val="none" w:sz="0" w:space="0" w:color="auto"/>
          </w:divBdr>
        </w:div>
        <w:div w:id="1720133289">
          <w:marLeft w:val="1800"/>
          <w:marRight w:val="0"/>
          <w:marTop w:val="100"/>
          <w:marBottom w:val="0"/>
          <w:divBdr>
            <w:top w:val="none" w:sz="0" w:space="0" w:color="auto"/>
            <w:left w:val="none" w:sz="0" w:space="0" w:color="auto"/>
            <w:bottom w:val="none" w:sz="0" w:space="0" w:color="auto"/>
            <w:right w:val="none" w:sz="0" w:space="0" w:color="auto"/>
          </w:divBdr>
        </w:div>
        <w:div w:id="390620622">
          <w:marLeft w:val="1440"/>
          <w:marRight w:val="0"/>
          <w:marTop w:val="100"/>
          <w:marBottom w:val="0"/>
          <w:divBdr>
            <w:top w:val="none" w:sz="0" w:space="0" w:color="auto"/>
            <w:left w:val="none" w:sz="0" w:space="0" w:color="auto"/>
            <w:bottom w:val="none" w:sz="0" w:space="0" w:color="auto"/>
            <w:right w:val="none" w:sz="0" w:space="0" w:color="auto"/>
          </w:divBdr>
        </w:div>
        <w:div w:id="1293439247">
          <w:marLeft w:val="1440"/>
          <w:marRight w:val="0"/>
          <w:marTop w:val="100"/>
          <w:marBottom w:val="0"/>
          <w:divBdr>
            <w:top w:val="none" w:sz="0" w:space="0" w:color="auto"/>
            <w:left w:val="none" w:sz="0" w:space="0" w:color="auto"/>
            <w:bottom w:val="none" w:sz="0" w:space="0" w:color="auto"/>
            <w:right w:val="none" w:sz="0" w:space="0" w:color="auto"/>
          </w:divBdr>
        </w:div>
        <w:div w:id="834078621">
          <w:marLeft w:val="1440"/>
          <w:marRight w:val="0"/>
          <w:marTop w:val="100"/>
          <w:marBottom w:val="0"/>
          <w:divBdr>
            <w:top w:val="none" w:sz="0" w:space="0" w:color="auto"/>
            <w:left w:val="none" w:sz="0" w:space="0" w:color="auto"/>
            <w:bottom w:val="none" w:sz="0" w:space="0" w:color="auto"/>
            <w:right w:val="none" w:sz="0" w:space="0" w:color="auto"/>
          </w:divBdr>
        </w:div>
        <w:div w:id="1296522334">
          <w:marLeft w:val="806"/>
          <w:marRight w:val="0"/>
          <w:marTop w:val="200"/>
          <w:marBottom w:val="0"/>
          <w:divBdr>
            <w:top w:val="none" w:sz="0" w:space="0" w:color="auto"/>
            <w:left w:val="none" w:sz="0" w:space="0" w:color="auto"/>
            <w:bottom w:val="none" w:sz="0" w:space="0" w:color="auto"/>
            <w:right w:val="none" w:sz="0" w:space="0" w:color="auto"/>
          </w:divBdr>
        </w:div>
        <w:div w:id="1072970859">
          <w:marLeft w:val="720"/>
          <w:marRight w:val="0"/>
          <w:marTop w:val="200"/>
          <w:marBottom w:val="0"/>
          <w:divBdr>
            <w:top w:val="none" w:sz="0" w:space="0" w:color="auto"/>
            <w:left w:val="none" w:sz="0" w:space="0" w:color="auto"/>
            <w:bottom w:val="none" w:sz="0" w:space="0" w:color="auto"/>
            <w:right w:val="none" w:sz="0" w:space="0" w:color="auto"/>
          </w:divBdr>
        </w:div>
      </w:divsChild>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85388-4B8B-435C-A8A1-B022ABB6E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1547</Words>
  <Characters>8822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3</cp:revision>
  <cp:lastPrinted>2016-08-12T06:06:00Z</cp:lastPrinted>
  <dcterms:created xsi:type="dcterms:W3CDTF">2020-02-18T14:42:00Z</dcterms:created>
  <dcterms:modified xsi:type="dcterms:W3CDTF">2020-02-18T14:49:00Z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